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514231" w14:textId="4E803CA3" w:rsidR="007C2654" w:rsidRPr="002754F4" w:rsidRDefault="007C2654" w:rsidP="007B1AB2">
      <w:pPr>
        <w:shd w:val="clear" w:color="auto" w:fill="FFFFFF"/>
        <w:spacing w:after="0" w:line="240" w:lineRule="auto"/>
        <w:jc w:val="center"/>
        <w:textAlignment w:val="baseline"/>
        <w:rPr>
          <w:rFonts w:ascii="Segoe UI" w:eastAsia="Times New Roman" w:hAnsi="Segoe UI" w:cs="Segoe UI"/>
          <w:color w:val="002060"/>
          <w:sz w:val="18"/>
          <w:szCs w:val="18"/>
        </w:rPr>
      </w:pPr>
      <w:r w:rsidRPr="002754F4">
        <w:rPr>
          <w:rFonts w:ascii="Calibri" w:eastAsia="Times New Roman" w:hAnsi="Calibri" w:cs="Calibri"/>
          <w:b/>
          <w:bCs/>
          <w:color w:val="002060"/>
          <w:lang w:val="en"/>
        </w:rPr>
        <w:t>Alternative School Accountability Reimagined</w:t>
      </w:r>
    </w:p>
    <w:p w14:paraId="62653F58" w14:textId="77777777" w:rsidR="007C2654" w:rsidRPr="002754F4" w:rsidRDefault="007C2654" w:rsidP="007C2654">
      <w:pPr>
        <w:shd w:val="clear" w:color="auto" w:fill="FFFFFF"/>
        <w:spacing w:after="0" w:line="240" w:lineRule="auto"/>
        <w:jc w:val="center"/>
        <w:textAlignment w:val="baseline"/>
        <w:rPr>
          <w:rFonts w:ascii="Segoe UI" w:eastAsia="Times New Roman" w:hAnsi="Segoe UI" w:cs="Segoe UI"/>
          <w:color w:val="002060"/>
          <w:sz w:val="18"/>
          <w:szCs w:val="18"/>
        </w:rPr>
      </w:pPr>
      <w:r w:rsidRPr="002754F4">
        <w:rPr>
          <w:rFonts w:ascii="Calibri" w:eastAsia="Times New Roman" w:hAnsi="Calibri" w:cs="Calibri"/>
          <w:b/>
          <w:bCs/>
          <w:color w:val="002060"/>
          <w:lang w:val="en"/>
        </w:rPr>
        <w:t>Recovery, Assessment, and Accountability in the Post-COVID World</w:t>
      </w:r>
      <w:r w:rsidRPr="002754F4">
        <w:rPr>
          <w:rFonts w:ascii="Calibri" w:eastAsia="Times New Roman" w:hAnsi="Calibri" w:cs="Calibri"/>
          <w:color w:val="002060"/>
          <w:lang w:val="en"/>
        </w:rPr>
        <w:t> </w:t>
      </w:r>
      <w:r w:rsidRPr="002754F4">
        <w:rPr>
          <w:rFonts w:ascii="Calibri" w:eastAsia="Times New Roman" w:hAnsi="Calibri" w:cs="Calibri"/>
          <w:color w:val="002060"/>
        </w:rPr>
        <w:t> </w:t>
      </w:r>
    </w:p>
    <w:p w14:paraId="613C023C" w14:textId="77777777" w:rsidR="007C2654" w:rsidRPr="002754F4" w:rsidRDefault="007C2654" w:rsidP="007C2654">
      <w:pPr>
        <w:shd w:val="clear" w:color="auto" w:fill="FFFFFF"/>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 </w:t>
      </w:r>
      <w:r w:rsidRPr="002754F4">
        <w:rPr>
          <w:rFonts w:ascii="Calibri" w:eastAsia="Times New Roman" w:hAnsi="Calibri" w:cs="Calibri"/>
          <w:color w:val="002060"/>
        </w:rPr>
        <w:t> </w:t>
      </w:r>
    </w:p>
    <w:p w14:paraId="562EADE2" w14:textId="767D8AA0"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r w:rsidRPr="002754F4">
        <w:rPr>
          <w:rFonts w:ascii="Calibri" w:eastAsia="Times New Roman" w:hAnsi="Calibri" w:cs="Calibri"/>
          <w:b/>
          <w:bCs/>
          <w:color w:val="002060"/>
          <w:lang w:val="en"/>
        </w:rPr>
        <w:t>Overview</w:t>
      </w:r>
      <w:r w:rsidRPr="002754F4">
        <w:rPr>
          <w:rFonts w:ascii="Calibri" w:eastAsia="Times New Roman" w:hAnsi="Calibri" w:cs="Calibri"/>
          <w:color w:val="002060"/>
        </w:rPr>
        <w:t> </w:t>
      </w:r>
    </w:p>
    <w:p w14:paraId="57D19B21" w14:textId="77777777"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1F392DA3" w14:textId="77777777"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Whether through research or everyday experience, the limitations of large-scale public-school accountability systems have become more apparent in recent years. At the same time, schools have learned more about how assessment and evaluation can be used to strengthen learning and broaden opportunities for students. In 2020, as with so many things, our K12 accountability systems were disrupted and largely put on hold across the nation. That pause and eventual reset provide an opportunity to show how the right measures can improve accountability and expand opportunities for students.  </w:t>
      </w:r>
      <w:r w:rsidRPr="002754F4">
        <w:rPr>
          <w:rFonts w:ascii="Calibri" w:eastAsia="Times New Roman" w:hAnsi="Calibri" w:cs="Calibri"/>
          <w:color w:val="002060"/>
        </w:rPr>
        <w:t> </w:t>
      </w:r>
    </w:p>
    <w:p w14:paraId="6F988839" w14:textId="77777777"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 </w:t>
      </w:r>
      <w:r w:rsidRPr="002754F4">
        <w:rPr>
          <w:rFonts w:ascii="Calibri" w:eastAsia="Times New Roman" w:hAnsi="Calibri" w:cs="Calibri"/>
          <w:color w:val="002060"/>
        </w:rPr>
        <w:t> </w:t>
      </w:r>
    </w:p>
    <w:p w14:paraId="49AEF3E2" w14:textId="77777777"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 xml:space="preserve">For the last decade, Momentum Strategy &amp; Research has worked with alternative education campuses (AECs) across the country to ensure that all students have access to quality education. A central tenet of this work is seeing that schools are measured and evaluated using the assessments, data, and processes best suited for their specific missions, student populations, and curricular designs – what we call </w:t>
      </w:r>
      <w:r w:rsidRPr="002754F4">
        <w:rPr>
          <w:rFonts w:ascii="Calibri" w:eastAsia="Times New Roman" w:hAnsi="Calibri" w:cs="Calibri"/>
          <w:i/>
          <w:iCs/>
          <w:color w:val="002060"/>
          <w:lang w:val="en"/>
        </w:rPr>
        <w:t>student-centered accountability</w:t>
      </w:r>
      <w:r w:rsidRPr="002754F4">
        <w:rPr>
          <w:rFonts w:ascii="Calibri" w:eastAsia="Times New Roman" w:hAnsi="Calibri" w:cs="Calibri"/>
          <w:color w:val="002060"/>
          <w:lang w:val="en"/>
        </w:rPr>
        <w:t>.  </w:t>
      </w:r>
      <w:r w:rsidRPr="002754F4">
        <w:rPr>
          <w:rFonts w:ascii="Calibri" w:eastAsia="Times New Roman" w:hAnsi="Calibri" w:cs="Calibri"/>
          <w:color w:val="002060"/>
        </w:rPr>
        <w:t> </w:t>
      </w:r>
    </w:p>
    <w:p w14:paraId="57CF04A2" w14:textId="77777777"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3BF1AB65" w14:textId="441CCA0A" w:rsidR="007C2654" w:rsidRPr="002754F4" w:rsidRDefault="007C2654" w:rsidP="007C2654">
      <w:pPr>
        <w:shd w:val="clear" w:color="auto" w:fill="FFFFFF"/>
        <w:spacing w:after="0" w:line="240" w:lineRule="auto"/>
        <w:jc w:val="both"/>
        <w:textAlignment w:val="baseline"/>
        <w:rPr>
          <w:rFonts w:ascii="Calibri" w:eastAsia="Times New Roman" w:hAnsi="Calibri" w:cs="Calibri"/>
          <w:color w:val="002060"/>
        </w:rPr>
      </w:pPr>
      <w:r w:rsidRPr="002754F4">
        <w:rPr>
          <w:noProof/>
          <w:color w:val="002060"/>
        </w:rPr>
        <w:drawing>
          <wp:anchor distT="0" distB="0" distL="114300" distR="114300" simplePos="0" relativeHeight="251658240" behindDoc="0" locked="0" layoutInCell="1" allowOverlap="1" wp14:anchorId="4099AB66" wp14:editId="17E304F2">
            <wp:simplePos x="0" y="0"/>
            <wp:positionH relativeFrom="column">
              <wp:posOffset>0</wp:posOffset>
            </wp:positionH>
            <wp:positionV relativeFrom="paragraph">
              <wp:posOffset>-2540</wp:posOffset>
            </wp:positionV>
            <wp:extent cx="2714625" cy="3038475"/>
            <wp:effectExtent l="0" t="0" r="0" b="9525"/>
            <wp:wrapSquare wrapText="bothSides"/>
            <wp:docPr id="1"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10;&#10;Description automatically generated"/>
                    <pic:cNvPicPr>
                      <a:picLocks noChangeAspect="1" noChangeArrowheads="1"/>
                    </pic:cNvPicPr>
                  </pic:nvPicPr>
                  <pic:blipFill>
                    <a:blip r:embed="rId5">
                      <a:extLst>
                        <a:ext uri="{BEBA8EAE-BF5A-486C-A8C5-ECC9F3942E4B}">
                          <a14:imgProps xmlns:a14="http://schemas.microsoft.com/office/drawing/2010/main">
                            <a14:imgLayer r:embed="rId6">
                              <a14:imgEffect>
                                <a14:colorTemperature colorTemp="53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2714625" cy="3038475"/>
                    </a:xfrm>
                    <a:prstGeom prst="rect">
                      <a:avLst/>
                    </a:prstGeom>
                    <a:noFill/>
                    <a:ln>
                      <a:noFill/>
                    </a:ln>
                  </pic:spPr>
                </pic:pic>
              </a:graphicData>
            </a:graphic>
          </wp:anchor>
        </w:drawing>
      </w:r>
      <w:r w:rsidRPr="002754F4">
        <w:rPr>
          <w:rFonts w:ascii="Calibri" w:eastAsia="Times New Roman" w:hAnsi="Calibri" w:cs="Calibri"/>
          <w:color w:val="002060"/>
          <w:lang w:val="en"/>
        </w:rPr>
        <w:t>In October 2021</w:t>
      </w:r>
      <w:r w:rsidR="00AE6DEC" w:rsidRPr="002754F4">
        <w:rPr>
          <w:rFonts w:ascii="Calibri" w:eastAsia="Times New Roman" w:hAnsi="Calibri" w:cs="Calibri"/>
          <w:color w:val="002060"/>
          <w:lang w:val="en"/>
        </w:rPr>
        <w:t>,</w:t>
      </w:r>
      <w:r w:rsidRPr="002754F4">
        <w:rPr>
          <w:rFonts w:ascii="Calibri" w:eastAsia="Times New Roman" w:hAnsi="Calibri" w:cs="Calibri"/>
          <w:color w:val="002060"/>
          <w:lang w:val="en"/>
        </w:rPr>
        <w:t xml:space="preserve"> Momentum held the first in a series of </w:t>
      </w:r>
      <w:r w:rsidRPr="002754F4">
        <w:rPr>
          <w:rFonts w:ascii="Calibri" w:eastAsia="Times New Roman" w:hAnsi="Calibri" w:cs="Calibri"/>
          <w:i/>
          <w:iCs/>
          <w:color w:val="002060"/>
          <w:lang w:val="en"/>
        </w:rPr>
        <w:t>Accountability Reimagined</w:t>
      </w:r>
      <w:r w:rsidRPr="002754F4">
        <w:rPr>
          <w:rFonts w:ascii="Calibri" w:eastAsia="Times New Roman" w:hAnsi="Calibri" w:cs="Calibri"/>
          <w:color w:val="002060"/>
          <w:lang w:val="en"/>
        </w:rPr>
        <w:t xml:space="preserve"> convenings to address AECs and post-COVID accountability. This initial meeting was organized as a forum for thought leaders to learn and share while building a roadmap to strengthen systems and policies for AEC students. The group’s discussions explored ways to assess progress, track growth, and support the students who are most disengaged and difficult to measure. </w:t>
      </w:r>
      <w:r w:rsidRPr="002754F4">
        <w:rPr>
          <w:rFonts w:ascii="Calibri" w:eastAsia="Times New Roman" w:hAnsi="Calibri" w:cs="Calibri"/>
          <w:color w:val="002060"/>
        </w:rPr>
        <w:t> </w:t>
      </w:r>
    </w:p>
    <w:p w14:paraId="1BAF92FF" w14:textId="77777777"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p>
    <w:p w14:paraId="414914CA" w14:textId="77777777"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As a foundation of these discussions, Momentum put forth this theory of change: AEC students are served best by</w:t>
      </w:r>
      <w:r w:rsidRPr="002754F4">
        <w:rPr>
          <w:rFonts w:ascii="Calibri" w:eastAsia="Times New Roman" w:hAnsi="Calibri" w:cs="Calibri"/>
          <w:i/>
          <w:iCs/>
          <w:color w:val="002060"/>
          <w:lang w:val="en"/>
        </w:rPr>
        <w:t xml:space="preserve"> student-centered accountability – where measures are aligned to specific student population needs, providing schools with the best information to support and educate their students.   </w:t>
      </w:r>
      <w:r w:rsidRPr="002754F4">
        <w:rPr>
          <w:rFonts w:ascii="Calibri" w:eastAsia="Times New Roman" w:hAnsi="Calibri" w:cs="Calibri"/>
          <w:color w:val="002060"/>
          <w:lang w:val="en"/>
        </w:rPr>
        <w:t xml:space="preserve"> This theory of change is based on the following principles and assumptions:</w:t>
      </w:r>
      <w:r w:rsidRPr="002754F4">
        <w:rPr>
          <w:rFonts w:ascii="Calibri" w:eastAsia="Times New Roman" w:hAnsi="Calibri" w:cs="Calibri"/>
          <w:color w:val="002060"/>
        </w:rPr>
        <w:t> </w:t>
      </w:r>
    </w:p>
    <w:p w14:paraId="2BAF4DB8" w14:textId="77777777" w:rsidR="007C2654" w:rsidRPr="002754F4" w:rsidRDefault="007C2654" w:rsidP="007C2654">
      <w:pPr>
        <w:shd w:val="clear" w:color="auto" w:fill="FFFFFF"/>
        <w:spacing w:after="0" w:line="240" w:lineRule="auto"/>
        <w:jc w:val="both"/>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7F45587E"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By design, AECs provide highly individualized education and student support. Therefore, </w:t>
      </w:r>
      <w:r w:rsidRPr="002754F4">
        <w:rPr>
          <w:rFonts w:ascii="Calibri" w:eastAsia="Times New Roman" w:hAnsi="Calibri" w:cs="Calibri"/>
          <w:color w:val="002060"/>
        </w:rPr>
        <w:t> </w:t>
      </w:r>
    </w:p>
    <w:p w14:paraId="06D9299D" w14:textId="77777777" w:rsidR="007C2654" w:rsidRPr="002754F4" w:rsidRDefault="007C2654" w:rsidP="007C2654">
      <w:pPr>
        <w:pStyle w:val="ListParagraph"/>
        <w:numPr>
          <w:ilvl w:val="0"/>
          <w:numId w:val="2"/>
        </w:numPr>
        <w:spacing w:after="0" w:line="240" w:lineRule="auto"/>
        <w:textAlignment w:val="baseline"/>
        <w:rPr>
          <w:rFonts w:ascii="Arial" w:eastAsia="Times New Roman" w:hAnsi="Arial" w:cs="Arial"/>
          <w:color w:val="002060"/>
        </w:rPr>
      </w:pPr>
      <w:r w:rsidRPr="002754F4">
        <w:rPr>
          <w:rFonts w:ascii="Calibri" w:eastAsia="Times New Roman" w:hAnsi="Calibri" w:cs="Calibri"/>
          <w:color w:val="002060"/>
          <w:lang w:val="en"/>
        </w:rPr>
        <w:t>Evaluation systems should also be highly customizable to allow for a focus on individual student needs.</w:t>
      </w:r>
      <w:r w:rsidRPr="002754F4">
        <w:rPr>
          <w:rFonts w:ascii="Calibri" w:eastAsia="Times New Roman" w:hAnsi="Calibri" w:cs="Calibri"/>
          <w:color w:val="002060"/>
        </w:rPr>
        <w:t> </w:t>
      </w:r>
    </w:p>
    <w:p w14:paraId="25B4C5E8" w14:textId="77777777" w:rsidR="007C2654" w:rsidRPr="002754F4" w:rsidRDefault="007C2654" w:rsidP="007C2654">
      <w:pPr>
        <w:pStyle w:val="ListParagraph"/>
        <w:numPr>
          <w:ilvl w:val="0"/>
          <w:numId w:val="2"/>
        </w:numPr>
        <w:spacing w:after="0" w:line="240" w:lineRule="auto"/>
        <w:textAlignment w:val="baseline"/>
        <w:rPr>
          <w:rFonts w:ascii="Arial" w:eastAsia="Times New Roman" w:hAnsi="Arial" w:cs="Arial"/>
          <w:color w:val="002060"/>
        </w:rPr>
      </w:pPr>
      <w:r w:rsidRPr="002754F4">
        <w:rPr>
          <w:rFonts w:ascii="Calibri" w:eastAsia="Times New Roman" w:hAnsi="Calibri" w:cs="Calibri"/>
          <w:color w:val="002060"/>
          <w:lang w:val="en"/>
        </w:rPr>
        <w:t>Measures aligned to central program elements and the needs of specific student populations provide more actionable information about individual student progress than those focused solely on state standardized tests and cohort graduation rates. </w:t>
      </w:r>
      <w:r w:rsidRPr="002754F4">
        <w:rPr>
          <w:rFonts w:ascii="Calibri" w:eastAsia="Times New Roman" w:hAnsi="Calibri" w:cs="Calibri"/>
          <w:color w:val="002060"/>
        </w:rPr>
        <w:t> </w:t>
      </w:r>
    </w:p>
    <w:p w14:paraId="78A3E1BE" w14:textId="77777777" w:rsidR="007C2654" w:rsidRPr="002754F4" w:rsidRDefault="007C2654" w:rsidP="007C2654">
      <w:pPr>
        <w:pStyle w:val="ListParagraph"/>
        <w:numPr>
          <w:ilvl w:val="0"/>
          <w:numId w:val="2"/>
        </w:numPr>
        <w:spacing w:after="0" w:line="240" w:lineRule="auto"/>
        <w:textAlignment w:val="baseline"/>
        <w:rPr>
          <w:rFonts w:ascii="Arial" w:eastAsia="Times New Roman" w:hAnsi="Arial" w:cs="Arial"/>
          <w:color w:val="002060"/>
        </w:rPr>
      </w:pPr>
      <w:r w:rsidRPr="002754F4">
        <w:rPr>
          <w:rFonts w:ascii="Calibri" w:eastAsia="Times New Roman" w:hAnsi="Calibri" w:cs="Calibri"/>
          <w:color w:val="002060"/>
          <w:lang w:val="en"/>
        </w:rPr>
        <w:t>Measures of student progress can and should be both diagnostic and evaluative. </w:t>
      </w:r>
      <w:r w:rsidRPr="002754F4">
        <w:rPr>
          <w:rFonts w:ascii="Calibri" w:eastAsia="Times New Roman" w:hAnsi="Calibri" w:cs="Calibri"/>
          <w:color w:val="002060"/>
        </w:rPr>
        <w:t> </w:t>
      </w:r>
    </w:p>
    <w:p w14:paraId="11AE912A" w14:textId="77777777" w:rsidR="007C2654" w:rsidRPr="002754F4" w:rsidRDefault="007C2654" w:rsidP="007C2654">
      <w:pPr>
        <w:pStyle w:val="ListParagraph"/>
        <w:numPr>
          <w:ilvl w:val="0"/>
          <w:numId w:val="2"/>
        </w:numPr>
        <w:spacing w:after="0" w:line="240" w:lineRule="auto"/>
        <w:textAlignment w:val="baseline"/>
        <w:rPr>
          <w:rFonts w:ascii="Arial" w:eastAsia="Times New Roman" w:hAnsi="Arial" w:cs="Arial"/>
          <w:color w:val="002060"/>
        </w:rPr>
      </w:pPr>
      <w:r w:rsidRPr="002754F4">
        <w:rPr>
          <w:rFonts w:ascii="Calibri" w:eastAsia="Times New Roman" w:hAnsi="Calibri" w:cs="Calibri"/>
          <w:color w:val="002060"/>
          <w:lang w:val="en"/>
        </w:rPr>
        <w:t>Performance measures do not need be uniformly applied across all students and schools.  </w:t>
      </w:r>
      <w:r w:rsidRPr="002754F4">
        <w:rPr>
          <w:rFonts w:ascii="Calibri" w:eastAsia="Times New Roman" w:hAnsi="Calibri" w:cs="Calibri"/>
          <w:color w:val="002060"/>
        </w:rPr>
        <w:t> </w:t>
      </w:r>
    </w:p>
    <w:p w14:paraId="3E0BDB84" w14:textId="77777777" w:rsidR="007C2654" w:rsidRPr="002754F4" w:rsidRDefault="007C2654" w:rsidP="007C2654">
      <w:pPr>
        <w:pStyle w:val="ListParagraph"/>
        <w:numPr>
          <w:ilvl w:val="0"/>
          <w:numId w:val="2"/>
        </w:numPr>
        <w:spacing w:after="0" w:line="240" w:lineRule="auto"/>
        <w:textAlignment w:val="baseline"/>
        <w:rPr>
          <w:rFonts w:ascii="Arial" w:eastAsia="Times New Roman" w:hAnsi="Arial" w:cs="Arial"/>
          <w:color w:val="002060"/>
        </w:rPr>
      </w:pPr>
      <w:r w:rsidRPr="002754F4">
        <w:rPr>
          <w:rFonts w:ascii="Calibri" w:eastAsia="Times New Roman" w:hAnsi="Calibri" w:cs="Calibri"/>
          <w:color w:val="002060"/>
          <w:lang w:val="en"/>
        </w:rPr>
        <w:t>Accountability systems can strike a balance between broadly applied measures and those specific to individual schools.   </w:t>
      </w:r>
      <w:r w:rsidRPr="002754F4">
        <w:rPr>
          <w:rFonts w:ascii="Calibri" w:eastAsia="Times New Roman" w:hAnsi="Calibri" w:cs="Calibri"/>
          <w:color w:val="002060"/>
        </w:rPr>
        <w:t> </w:t>
      </w:r>
    </w:p>
    <w:p w14:paraId="0FAD8DAC" w14:textId="55B5E480" w:rsidR="007C2654" w:rsidRPr="002754F4" w:rsidRDefault="007C2654" w:rsidP="007C2654">
      <w:pPr>
        <w:pStyle w:val="ListParagraph"/>
        <w:numPr>
          <w:ilvl w:val="0"/>
          <w:numId w:val="2"/>
        </w:numPr>
        <w:spacing w:after="0" w:line="240" w:lineRule="auto"/>
        <w:textAlignment w:val="baseline"/>
        <w:rPr>
          <w:rFonts w:ascii="Arial" w:eastAsia="Times New Roman" w:hAnsi="Arial" w:cs="Arial"/>
          <w:color w:val="002060"/>
        </w:rPr>
      </w:pPr>
      <w:r w:rsidRPr="002754F4">
        <w:rPr>
          <w:rFonts w:ascii="Calibri" w:eastAsia="Times New Roman" w:hAnsi="Calibri" w:cs="Calibri"/>
          <w:color w:val="002060"/>
          <w:lang w:val="en"/>
        </w:rPr>
        <w:lastRenderedPageBreak/>
        <w:t>Next generation assessments and data systems already exist in schools and programs across the country -- but they must be administered at the district and/or state levels for student-centered accountability to be fully realized.</w:t>
      </w:r>
      <w:r w:rsidRPr="002754F4">
        <w:rPr>
          <w:rFonts w:ascii="Calibri" w:eastAsia="Times New Roman" w:hAnsi="Calibri" w:cs="Calibri"/>
          <w:color w:val="002060"/>
        </w:rPr>
        <w:t> </w:t>
      </w:r>
    </w:p>
    <w:p w14:paraId="1020C997" w14:textId="77777777" w:rsidR="007C2654" w:rsidRPr="002754F4" w:rsidRDefault="007C2654" w:rsidP="007C2654">
      <w:pPr>
        <w:spacing w:after="0" w:line="240" w:lineRule="auto"/>
        <w:ind w:left="720"/>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54E271FB" w14:textId="77777777" w:rsidR="007C2654" w:rsidRPr="002754F4" w:rsidRDefault="007C2654" w:rsidP="007C2654">
      <w:pPr>
        <w:shd w:val="clear" w:color="auto" w:fill="FFFFFF"/>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The remainder of this document highlights practices and policies that would be evident in each level of the educational system (schools, charter school authorizers, school districts and state departments of education, and student advocacy and school support organizations) where a ‘next generation’ system of accountability has been put into place. In addition, this document provides a “roadmap” for what might be needed to successfully implement Next Generation Accountability at each level.  </w:t>
      </w:r>
      <w:r w:rsidRPr="002754F4">
        <w:rPr>
          <w:rFonts w:ascii="Calibri" w:eastAsia="Times New Roman" w:hAnsi="Calibri" w:cs="Calibri"/>
          <w:color w:val="002060"/>
        </w:rPr>
        <w:t> </w:t>
      </w:r>
    </w:p>
    <w:p w14:paraId="0E3B9902" w14:textId="77777777" w:rsidR="007C2654" w:rsidRPr="002754F4" w:rsidRDefault="007C2654" w:rsidP="007C2654">
      <w:pPr>
        <w:shd w:val="clear" w:color="auto" w:fill="FFFFFF"/>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 </w:t>
      </w:r>
      <w:r w:rsidRPr="002754F4">
        <w:rPr>
          <w:rFonts w:ascii="Calibri" w:eastAsia="Times New Roman" w:hAnsi="Calibri" w:cs="Calibri"/>
          <w:color w:val="002060"/>
        </w:rPr>
        <w:t> </w:t>
      </w:r>
    </w:p>
    <w:p w14:paraId="1F6987A5" w14:textId="77777777" w:rsidR="007C2654" w:rsidRPr="002754F4" w:rsidRDefault="007C2654" w:rsidP="007C2654">
      <w:pPr>
        <w:shd w:val="clear" w:color="auto" w:fill="FFFFFF"/>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As this document is an early draft, these goals and strategies are outlined in brief. As this document is further developed, links to resources, examples, and tools will be added to provide concrete methods for moving forward. </w:t>
      </w:r>
      <w:r w:rsidRPr="002754F4">
        <w:rPr>
          <w:rFonts w:ascii="Calibri" w:eastAsia="Times New Roman" w:hAnsi="Calibri" w:cs="Calibri"/>
          <w:color w:val="002060"/>
        </w:rPr>
        <w:t> </w:t>
      </w:r>
    </w:p>
    <w:p w14:paraId="04B510EB" w14:textId="113072E2" w:rsidR="007C2654" w:rsidRPr="002754F4" w:rsidRDefault="007C2654" w:rsidP="007C2654">
      <w:pPr>
        <w:shd w:val="clear" w:color="auto" w:fill="FFFFFF"/>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3156C45D" w14:textId="77777777" w:rsidR="007C2654" w:rsidRPr="002754F4" w:rsidRDefault="007C2654" w:rsidP="007C2654">
      <w:pPr>
        <w:shd w:val="clear" w:color="auto" w:fill="FFFFFF"/>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b/>
          <w:bCs/>
          <w:color w:val="002060"/>
          <w:lang w:val="en"/>
        </w:rPr>
        <w:t>Vision for Next Generation Accountability</w:t>
      </w:r>
      <w:r w:rsidRPr="002754F4">
        <w:rPr>
          <w:rFonts w:ascii="Calibri" w:eastAsia="Times New Roman" w:hAnsi="Calibri" w:cs="Calibri"/>
          <w:color w:val="002060"/>
        </w:rPr>
        <w:t> </w:t>
      </w:r>
    </w:p>
    <w:p w14:paraId="68B7F814" w14:textId="77777777" w:rsidR="007C2654" w:rsidRPr="002754F4" w:rsidRDefault="007C2654" w:rsidP="007C2654">
      <w:pPr>
        <w:shd w:val="clear" w:color="auto" w:fill="FFFFFF"/>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74B4FE5D"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In our vision for Next Generation Accountability, we see areas for growth and change across all layers of the public education system, including schools, charter school authorizers, school districts, state education departments, and state and national education policy. A brief summary of this vision is described below.</w:t>
      </w:r>
      <w:r w:rsidRPr="002754F4">
        <w:rPr>
          <w:rFonts w:ascii="Calibri" w:eastAsia="Times New Roman" w:hAnsi="Calibri" w:cs="Calibri"/>
          <w:color w:val="002060"/>
        </w:rPr>
        <w:t> </w:t>
      </w:r>
    </w:p>
    <w:p w14:paraId="5E8F3397" w14:textId="77777777" w:rsidR="007C2654" w:rsidRPr="002754F4" w:rsidRDefault="007C2654" w:rsidP="007C2654">
      <w:pPr>
        <w:spacing w:after="0" w:line="240" w:lineRule="auto"/>
        <w:ind w:firstLine="720"/>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36BB00CC" w14:textId="27390EC5"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 xml:space="preserve">In Next Generation Accountability, </w:t>
      </w:r>
      <w:r w:rsidRPr="002754F4">
        <w:rPr>
          <w:rFonts w:ascii="Calibri" w:eastAsia="Times New Roman" w:hAnsi="Calibri" w:cs="Calibri"/>
          <w:b/>
          <w:bCs/>
          <w:color w:val="002060"/>
          <w:lang w:val="en"/>
        </w:rPr>
        <w:t>AECs</w:t>
      </w:r>
      <w:r w:rsidRPr="002754F4">
        <w:rPr>
          <w:rFonts w:ascii="Calibri" w:eastAsia="Times New Roman" w:hAnsi="Calibri" w:cs="Calibri"/>
          <w:color w:val="002060"/>
          <w:lang w:val="en"/>
        </w:rPr>
        <w:t xml:space="preserve"> are granted the latitude and resources needed to select measures and assessments aligned with their students’ needs, and to develop</w:t>
      </w:r>
      <w:r w:rsidR="00BA672E">
        <w:rPr>
          <w:rFonts w:ascii="Calibri" w:eastAsia="Times New Roman" w:hAnsi="Calibri" w:cs="Calibri"/>
          <w:color w:val="002060"/>
          <w:lang w:val="en"/>
        </w:rPr>
        <w:t xml:space="preserve"> and</w:t>
      </w:r>
      <w:r w:rsidRPr="002754F4">
        <w:rPr>
          <w:rFonts w:ascii="Calibri" w:eastAsia="Times New Roman" w:hAnsi="Calibri" w:cs="Calibri"/>
          <w:color w:val="002060"/>
          <w:lang w:val="en"/>
        </w:rPr>
        <w:t xml:space="preserve"> utilize measures and assessments to evaluate progress at the individual student level. Using this data and information, AECs diagnose need, provide support, and monitor students’ progress, while also reporting aggregated results to facilitate external evaluation of school success.</w:t>
      </w:r>
      <w:r w:rsidRPr="002754F4">
        <w:rPr>
          <w:rFonts w:ascii="Calibri" w:eastAsia="Times New Roman" w:hAnsi="Calibri" w:cs="Calibri"/>
          <w:color w:val="002060"/>
        </w:rPr>
        <w:t> </w:t>
      </w:r>
    </w:p>
    <w:p w14:paraId="3F1A5CE3" w14:textId="77777777" w:rsidR="007C2654" w:rsidRPr="002754F4" w:rsidRDefault="007C2654" w:rsidP="007C2654">
      <w:pPr>
        <w:spacing w:after="0" w:line="240" w:lineRule="auto"/>
        <w:ind w:firstLine="720"/>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716A54F1"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 xml:space="preserve">In Next Generation Accountability, </w:t>
      </w:r>
      <w:r w:rsidRPr="002754F4">
        <w:rPr>
          <w:rFonts w:ascii="Calibri" w:eastAsia="Times New Roman" w:hAnsi="Calibri" w:cs="Calibri"/>
          <w:b/>
          <w:bCs/>
          <w:color w:val="002060"/>
          <w:lang w:val="en"/>
        </w:rPr>
        <w:t>authorizing policies and practice</w:t>
      </w:r>
      <w:r w:rsidRPr="002754F4">
        <w:rPr>
          <w:rFonts w:ascii="Calibri" w:eastAsia="Times New Roman" w:hAnsi="Calibri" w:cs="Calibri"/>
          <w:color w:val="002060"/>
          <w:lang w:val="en"/>
        </w:rPr>
        <w:t xml:space="preserve"> maximize school-level flexibility in selecting measures and assessments for use in high-stakes decisions, including an appropriate balance of qualitative and quantitative measurement. Authorizers support the development of measurement options for all schools serving students with complex educational, social-emotional, and basic life needs. In addition, authorizers are proactively involved in advocacy efforts on behalf of AECs and their students, including advocating for improved data systems and policies at the state or district level, and ensuring that all students have access to high quality options.</w:t>
      </w:r>
      <w:r w:rsidRPr="002754F4">
        <w:rPr>
          <w:rFonts w:ascii="Calibri" w:eastAsia="Times New Roman" w:hAnsi="Calibri" w:cs="Calibri"/>
          <w:color w:val="002060"/>
        </w:rPr>
        <w:t> </w:t>
      </w:r>
    </w:p>
    <w:p w14:paraId="174991A5" w14:textId="77777777" w:rsidR="007C2654" w:rsidRPr="002754F4" w:rsidRDefault="007C2654" w:rsidP="007C2654">
      <w:pPr>
        <w:spacing w:after="0" w:line="240" w:lineRule="auto"/>
        <w:ind w:firstLine="720"/>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7C653696"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In Next Generation Accountability,</w:t>
      </w:r>
      <w:r w:rsidRPr="002754F4">
        <w:rPr>
          <w:rFonts w:ascii="Calibri" w:eastAsia="Times New Roman" w:hAnsi="Calibri" w:cs="Calibri"/>
          <w:b/>
          <w:bCs/>
          <w:color w:val="002060"/>
          <w:lang w:val="en"/>
        </w:rPr>
        <w:t xml:space="preserve"> policy</w:t>
      </w:r>
      <w:r w:rsidRPr="002754F4">
        <w:rPr>
          <w:rFonts w:ascii="Calibri" w:eastAsia="Times New Roman" w:hAnsi="Calibri" w:cs="Calibri"/>
          <w:color w:val="002060"/>
          <w:lang w:val="en"/>
        </w:rPr>
        <w:t xml:space="preserve"> directs state and district accountability systems to allow schools to select measures aligned with their unique programs, including:</w:t>
      </w:r>
      <w:r w:rsidRPr="002754F4">
        <w:rPr>
          <w:rFonts w:ascii="Calibri" w:eastAsia="Times New Roman" w:hAnsi="Calibri" w:cs="Calibri"/>
          <w:color w:val="002060"/>
        </w:rPr>
        <w:t> </w:t>
      </w:r>
    </w:p>
    <w:p w14:paraId="1718DB21" w14:textId="77777777" w:rsidR="007C2654" w:rsidRPr="002754F4" w:rsidRDefault="007C2654" w:rsidP="007C2654">
      <w:pPr>
        <w:pStyle w:val="ListParagraph"/>
        <w:numPr>
          <w:ilvl w:val="0"/>
          <w:numId w:val="24"/>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Measures that focus on student progress and growth across multiple domains – academics, engagement, social-emotional development, college and career preparation and readiness – and include both quantitative and qualitative sources of data. </w:t>
      </w:r>
      <w:r w:rsidRPr="002754F4">
        <w:rPr>
          <w:rFonts w:ascii="Calibri" w:eastAsia="Times New Roman" w:hAnsi="Calibri" w:cs="Calibri"/>
          <w:color w:val="002060"/>
        </w:rPr>
        <w:t> </w:t>
      </w:r>
    </w:p>
    <w:p w14:paraId="3916AE83" w14:textId="77777777" w:rsidR="007C2654" w:rsidRPr="002754F4" w:rsidRDefault="007C2654" w:rsidP="007C2654">
      <w:pPr>
        <w:pStyle w:val="ListParagraph"/>
        <w:numPr>
          <w:ilvl w:val="0"/>
          <w:numId w:val="24"/>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Targets of success that are based on the best available data, may be differentiated – both within and across schools – and are based on student need. </w:t>
      </w:r>
      <w:r w:rsidRPr="002754F4">
        <w:rPr>
          <w:rFonts w:ascii="Calibri" w:eastAsia="Times New Roman" w:hAnsi="Calibri" w:cs="Calibri"/>
          <w:color w:val="002060"/>
        </w:rPr>
        <w:t> </w:t>
      </w:r>
    </w:p>
    <w:p w14:paraId="6316E3AB" w14:textId="28403F5D" w:rsidR="007C2654" w:rsidRPr="002754F4" w:rsidRDefault="007C2654" w:rsidP="007C2654">
      <w:pPr>
        <w:pStyle w:val="ListParagraph"/>
        <w:numPr>
          <w:ilvl w:val="0"/>
          <w:numId w:val="24"/>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Data systems that support real-time tracking of student data across schools and districts, can integrate local data from disparate sources (i.e. locally administered assessment data and school counselor data), and provide appropriate security levels to school staff, students, and parents.  </w:t>
      </w:r>
      <w:r w:rsidRPr="002754F4">
        <w:rPr>
          <w:rFonts w:ascii="Calibri" w:eastAsia="Times New Roman" w:hAnsi="Calibri" w:cs="Calibri"/>
          <w:color w:val="002060"/>
        </w:rPr>
        <w:t> </w:t>
      </w:r>
    </w:p>
    <w:p w14:paraId="00291395"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42E0E34A" w14:textId="3E50483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 xml:space="preserve">In Next Generation Accountability, </w:t>
      </w:r>
      <w:r w:rsidRPr="002754F4">
        <w:rPr>
          <w:rFonts w:ascii="Calibri" w:eastAsia="Times New Roman" w:hAnsi="Calibri" w:cs="Calibri"/>
          <w:b/>
          <w:bCs/>
          <w:color w:val="002060"/>
          <w:lang w:val="en"/>
        </w:rPr>
        <w:t>data and information management systems</w:t>
      </w:r>
      <w:r w:rsidRPr="002754F4">
        <w:rPr>
          <w:rFonts w:ascii="Calibri" w:eastAsia="Times New Roman" w:hAnsi="Calibri" w:cs="Calibri"/>
          <w:color w:val="002060"/>
          <w:lang w:val="en"/>
        </w:rPr>
        <w:t xml:space="preserve"> are developed to allow for the identification of students most at-risk of academic failure, including treating those students as a </w:t>
      </w:r>
      <w:r w:rsidRPr="002754F4">
        <w:rPr>
          <w:rFonts w:ascii="Calibri" w:eastAsia="Times New Roman" w:hAnsi="Calibri" w:cs="Calibri"/>
          <w:color w:val="002060"/>
          <w:lang w:val="en"/>
        </w:rPr>
        <w:lastRenderedPageBreak/>
        <w:t xml:space="preserve">defined group meriting targeted programming. Within these </w:t>
      </w:r>
      <w:r w:rsidR="00A96012">
        <w:rPr>
          <w:rFonts w:ascii="Calibri" w:eastAsia="Times New Roman" w:hAnsi="Calibri" w:cs="Calibri"/>
          <w:color w:val="002060"/>
          <w:lang w:val="en"/>
        </w:rPr>
        <w:t xml:space="preserve">systems, </w:t>
      </w:r>
      <w:r w:rsidRPr="002754F4">
        <w:rPr>
          <w:rFonts w:ascii="Calibri" w:eastAsia="Times New Roman" w:hAnsi="Calibri" w:cs="Calibri"/>
          <w:color w:val="002060"/>
          <w:lang w:val="en"/>
        </w:rPr>
        <w:t xml:space="preserve">students with complex needs are prioritized </w:t>
      </w:r>
      <w:r w:rsidR="00A96012">
        <w:rPr>
          <w:rFonts w:ascii="Calibri" w:eastAsia="Times New Roman" w:hAnsi="Calibri" w:cs="Calibri"/>
          <w:color w:val="002060"/>
          <w:lang w:val="en"/>
        </w:rPr>
        <w:t>to ensure</w:t>
      </w:r>
      <w:r w:rsidRPr="002754F4">
        <w:rPr>
          <w:rFonts w:ascii="Calibri" w:eastAsia="Times New Roman" w:hAnsi="Calibri" w:cs="Calibri"/>
          <w:color w:val="002060"/>
          <w:lang w:val="en"/>
        </w:rPr>
        <w:t xml:space="preserve"> that all students have access to schools that are set up to support them, and that schools have the appropriate amount of funding, support, and autonomy to provide the needed support(s).</w:t>
      </w:r>
      <w:r w:rsidRPr="002754F4">
        <w:rPr>
          <w:rFonts w:ascii="Calibri" w:eastAsia="Times New Roman" w:hAnsi="Calibri" w:cs="Calibri"/>
          <w:color w:val="002060"/>
        </w:rPr>
        <w:t> </w:t>
      </w:r>
    </w:p>
    <w:p w14:paraId="487C7583"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69B4EC78"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 xml:space="preserve">In Next Generation Accountability, </w:t>
      </w:r>
      <w:r w:rsidRPr="002754F4">
        <w:rPr>
          <w:rFonts w:ascii="Calibri" w:eastAsia="Times New Roman" w:hAnsi="Calibri" w:cs="Calibri"/>
          <w:b/>
          <w:bCs/>
          <w:color w:val="002060"/>
          <w:lang w:val="en"/>
        </w:rPr>
        <w:t>accountability systems</w:t>
      </w:r>
      <w:r w:rsidRPr="002754F4">
        <w:rPr>
          <w:rFonts w:ascii="Calibri" w:eastAsia="Times New Roman" w:hAnsi="Calibri" w:cs="Calibri"/>
          <w:color w:val="002060"/>
          <w:lang w:val="en"/>
        </w:rPr>
        <w:t xml:space="preserve"> are student-centered in that they allow for:</w:t>
      </w:r>
      <w:r w:rsidRPr="002754F4">
        <w:rPr>
          <w:rFonts w:ascii="Calibri" w:eastAsia="Times New Roman" w:hAnsi="Calibri" w:cs="Calibri"/>
          <w:color w:val="002060"/>
        </w:rPr>
        <w:t> </w:t>
      </w:r>
    </w:p>
    <w:p w14:paraId="46EDDCAD" w14:textId="77777777" w:rsidR="007C2654" w:rsidRPr="002754F4" w:rsidRDefault="007C2654" w:rsidP="007C2654">
      <w:pPr>
        <w:pStyle w:val="ListParagraph"/>
        <w:numPr>
          <w:ilvl w:val="0"/>
          <w:numId w:val="25"/>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Customization of school measures, assessments, and overall performance expectations based on student needs and school mission,</w:t>
      </w:r>
      <w:r w:rsidRPr="002754F4">
        <w:rPr>
          <w:rFonts w:ascii="Calibri" w:eastAsia="Times New Roman" w:hAnsi="Calibri" w:cs="Calibri"/>
          <w:color w:val="002060"/>
        </w:rPr>
        <w:t> </w:t>
      </w:r>
    </w:p>
    <w:p w14:paraId="6F4D4F90" w14:textId="23504E42" w:rsidR="007C2654" w:rsidRPr="002754F4" w:rsidRDefault="007C2654" w:rsidP="007C2654">
      <w:pPr>
        <w:pStyle w:val="ListParagraph"/>
        <w:numPr>
          <w:ilvl w:val="0"/>
          <w:numId w:val="25"/>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Appropriate comparison groups and data focused on similar schools and student populations, beyond federal demographic categories,</w:t>
      </w:r>
      <w:r w:rsidRPr="002754F4">
        <w:rPr>
          <w:rFonts w:ascii="Calibri" w:eastAsia="Times New Roman" w:hAnsi="Calibri" w:cs="Calibri"/>
          <w:color w:val="002060"/>
        </w:rPr>
        <w:t> </w:t>
      </w:r>
      <w:r w:rsidR="00EC488D" w:rsidRPr="002754F4">
        <w:rPr>
          <w:rFonts w:ascii="Calibri" w:eastAsia="Times New Roman" w:hAnsi="Calibri" w:cs="Calibri"/>
          <w:color w:val="002060"/>
        </w:rPr>
        <w:t>and</w:t>
      </w:r>
    </w:p>
    <w:p w14:paraId="44175E8F" w14:textId="12234CFD" w:rsidR="007C2654" w:rsidRPr="002754F4" w:rsidRDefault="007C2654" w:rsidP="007C2654">
      <w:pPr>
        <w:pStyle w:val="ListParagraph"/>
        <w:numPr>
          <w:ilvl w:val="0"/>
          <w:numId w:val="25"/>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Balanced school evaluations that utilize a combination of quantitative and qualitative measures.</w:t>
      </w:r>
      <w:r w:rsidRPr="002754F4">
        <w:rPr>
          <w:rFonts w:ascii="Calibri" w:eastAsia="Times New Roman" w:hAnsi="Calibri" w:cs="Calibri"/>
          <w:color w:val="002060"/>
        </w:rPr>
        <w:t> </w:t>
      </w:r>
    </w:p>
    <w:p w14:paraId="4F9374E8"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rPr>
        <w:t> </w:t>
      </w:r>
    </w:p>
    <w:p w14:paraId="66F8C3C4"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Calibri" w:eastAsia="Times New Roman" w:hAnsi="Calibri" w:cs="Calibri"/>
          <w:color w:val="002060"/>
          <w:lang w:val="en"/>
        </w:rPr>
        <w:t>The Roadmap below outlines audience-specific action steps that need to take place in order for Next Generation Accountability systems and practices to be developed and implemented in each state.</w:t>
      </w:r>
      <w:r w:rsidRPr="002754F4">
        <w:rPr>
          <w:rFonts w:ascii="Calibri" w:eastAsia="Times New Roman" w:hAnsi="Calibri" w:cs="Calibri"/>
          <w:color w:val="002060"/>
        </w:rPr>
        <w:t> </w:t>
      </w:r>
    </w:p>
    <w:p w14:paraId="707B2E16" w14:textId="77777777" w:rsidR="007C2654" w:rsidRPr="002754F4" w:rsidRDefault="007C2654" w:rsidP="007C2654">
      <w:pPr>
        <w:spacing w:after="0" w:line="240" w:lineRule="auto"/>
        <w:textAlignment w:val="baseline"/>
        <w:rPr>
          <w:rFonts w:ascii="Segoe UI" w:eastAsia="Times New Roman" w:hAnsi="Segoe UI" w:cs="Segoe UI"/>
          <w:color w:val="002060"/>
          <w:sz w:val="18"/>
          <w:szCs w:val="18"/>
        </w:rPr>
      </w:pPr>
      <w:r w:rsidRPr="002754F4">
        <w:rPr>
          <w:rFonts w:ascii="Arial" w:eastAsia="Times New Roman" w:hAnsi="Arial" w:cs="Arial"/>
          <w:color w:val="002060"/>
        </w:rPr>
        <w:t> </w:t>
      </w:r>
    </w:p>
    <w:p w14:paraId="40A3F3CF" w14:textId="77777777" w:rsidR="007C2654" w:rsidRPr="007C2654" w:rsidRDefault="007C2654" w:rsidP="007C2654">
      <w:pPr>
        <w:spacing w:after="0" w:line="240" w:lineRule="auto"/>
        <w:textAlignment w:val="baseline"/>
        <w:rPr>
          <w:rFonts w:ascii="Segoe UI" w:eastAsia="Times New Roman" w:hAnsi="Segoe UI" w:cs="Segoe UI"/>
          <w:sz w:val="18"/>
          <w:szCs w:val="18"/>
        </w:rPr>
      </w:pPr>
      <w:r w:rsidRPr="007C2654">
        <w:rPr>
          <w:rFonts w:ascii="Arial" w:eastAsia="Times New Roman" w:hAnsi="Arial" w:cs="Aria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4"/>
      </w:tblGrid>
      <w:tr w:rsidR="007C2654" w:rsidRPr="007C2654" w14:paraId="14BAA4FF" w14:textId="77777777" w:rsidTr="007C2654">
        <w:trPr>
          <w:trHeight w:val="270"/>
        </w:trPr>
        <w:tc>
          <w:tcPr>
            <w:tcW w:w="9360" w:type="dxa"/>
            <w:tcBorders>
              <w:top w:val="single" w:sz="6" w:space="0" w:color="000000"/>
              <w:left w:val="single" w:sz="6" w:space="0" w:color="000000"/>
              <w:bottom w:val="single" w:sz="6" w:space="0" w:color="000000"/>
              <w:right w:val="single" w:sz="6" w:space="0" w:color="000000"/>
            </w:tcBorders>
            <w:shd w:val="clear" w:color="auto" w:fill="002060"/>
            <w:hideMark/>
          </w:tcPr>
          <w:p w14:paraId="6CCD22BD" w14:textId="77777777" w:rsidR="007C2654" w:rsidRPr="007C2654" w:rsidRDefault="007C2654" w:rsidP="007C2654">
            <w:pPr>
              <w:spacing w:after="0" w:line="240" w:lineRule="auto"/>
              <w:jc w:val="center"/>
              <w:textAlignment w:val="baseline"/>
              <w:divId w:val="1947350870"/>
              <w:rPr>
                <w:rFonts w:ascii="Times New Roman" w:eastAsia="Times New Roman" w:hAnsi="Times New Roman" w:cs="Times New Roman"/>
                <w:sz w:val="24"/>
                <w:szCs w:val="24"/>
              </w:rPr>
            </w:pPr>
            <w:r w:rsidRPr="007C2654">
              <w:rPr>
                <w:rFonts w:ascii="Calibri" w:eastAsia="Times New Roman" w:hAnsi="Calibri" w:cs="Calibri"/>
                <w:b/>
                <w:bCs/>
                <w:color w:val="FFFFFF"/>
                <w:sz w:val="28"/>
                <w:szCs w:val="28"/>
                <w:lang w:val="en"/>
              </w:rPr>
              <w:t>Accountability Reimagined Roadmap</w:t>
            </w:r>
            <w:r w:rsidRPr="007C2654">
              <w:rPr>
                <w:rFonts w:ascii="Calibri" w:eastAsia="Times New Roman" w:hAnsi="Calibri" w:cs="Calibri"/>
                <w:color w:val="FFFFFF"/>
                <w:sz w:val="28"/>
                <w:szCs w:val="28"/>
                <w:lang w:val="en"/>
              </w:rPr>
              <w:t> </w:t>
            </w:r>
            <w:r w:rsidRPr="007C2654">
              <w:rPr>
                <w:rFonts w:ascii="Calibri" w:eastAsia="Times New Roman" w:hAnsi="Calibri" w:cs="Calibri"/>
                <w:color w:val="FFFFFF"/>
                <w:sz w:val="28"/>
                <w:szCs w:val="28"/>
              </w:rPr>
              <w:t> </w:t>
            </w:r>
          </w:p>
        </w:tc>
      </w:tr>
      <w:tr w:rsidR="007C2654" w:rsidRPr="007C2654" w14:paraId="7D0CC09D" w14:textId="77777777" w:rsidTr="007C2654">
        <w:trPr>
          <w:trHeight w:val="270"/>
        </w:trPr>
        <w:tc>
          <w:tcPr>
            <w:tcW w:w="9360" w:type="dxa"/>
            <w:tcBorders>
              <w:top w:val="single" w:sz="6" w:space="0" w:color="000000"/>
              <w:left w:val="single" w:sz="6" w:space="0" w:color="000000"/>
              <w:bottom w:val="single" w:sz="6" w:space="0" w:color="000000"/>
              <w:right w:val="single" w:sz="6" w:space="0" w:color="000000"/>
            </w:tcBorders>
            <w:shd w:val="clear" w:color="auto" w:fill="0070C0"/>
            <w:hideMark/>
          </w:tcPr>
          <w:p w14:paraId="575899AF" w14:textId="77777777" w:rsidR="007C2654" w:rsidRPr="007C2654" w:rsidRDefault="007C2654" w:rsidP="007C2654">
            <w:pPr>
              <w:spacing w:after="0" w:line="240" w:lineRule="auto"/>
              <w:textAlignment w:val="baseline"/>
              <w:rPr>
                <w:rFonts w:ascii="Times New Roman" w:eastAsia="Times New Roman" w:hAnsi="Times New Roman" w:cs="Times New Roman"/>
                <w:sz w:val="24"/>
                <w:szCs w:val="24"/>
              </w:rPr>
            </w:pPr>
            <w:r w:rsidRPr="007C2654">
              <w:rPr>
                <w:rFonts w:ascii="Calibri" w:eastAsia="Times New Roman" w:hAnsi="Calibri" w:cs="Calibri"/>
                <w:b/>
                <w:bCs/>
                <w:color w:val="FFFFFF"/>
                <w:lang w:val="en"/>
              </w:rPr>
              <w:t>ACTION STEPS FOR SCHOOLS</w:t>
            </w:r>
            <w:r w:rsidRPr="007C2654">
              <w:rPr>
                <w:rFonts w:ascii="Calibri" w:eastAsia="Times New Roman" w:hAnsi="Calibri" w:cs="Calibri"/>
                <w:color w:val="FFFFFF"/>
                <w:lang w:val="en"/>
              </w:rPr>
              <w:t> </w:t>
            </w:r>
            <w:r w:rsidRPr="007C2654">
              <w:rPr>
                <w:rFonts w:ascii="Calibri" w:eastAsia="Times New Roman" w:hAnsi="Calibri" w:cs="Calibri"/>
                <w:color w:val="FFFFFF"/>
              </w:rPr>
              <w:t> </w:t>
            </w:r>
          </w:p>
        </w:tc>
      </w:tr>
      <w:tr w:rsidR="007C2654" w:rsidRPr="007C2654" w14:paraId="1BA9671D" w14:textId="77777777" w:rsidTr="007C2654">
        <w:trPr>
          <w:trHeight w:val="957"/>
        </w:trPr>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6D463268" w14:textId="231AC986" w:rsidR="007C2654" w:rsidRPr="002754F4" w:rsidRDefault="007C2654" w:rsidP="007C2654">
            <w:pPr>
              <w:pStyle w:val="ListParagraph"/>
              <w:numPr>
                <w:ilvl w:val="0"/>
                <w:numId w:val="26"/>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Form coalitions to work together on a student-centered accountability implementation plan and approach policy makers with the vision for Next Generation Accountability Systems, including examples of solutions being implemented elsewhere.</w:t>
            </w:r>
            <w:r w:rsidRPr="002754F4">
              <w:rPr>
                <w:rFonts w:ascii="Calibri" w:eastAsia="Times New Roman" w:hAnsi="Calibri" w:cs="Calibri"/>
                <w:color w:val="002060"/>
              </w:rPr>
              <w:t> </w:t>
            </w:r>
          </w:p>
          <w:p w14:paraId="3908A4DC" w14:textId="03F2365C" w:rsidR="007C2654" w:rsidRPr="007C2654" w:rsidRDefault="007C2654" w:rsidP="007C2654">
            <w:pPr>
              <w:spacing w:after="0" w:line="240" w:lineRule="auto"/>
              <w:textAlignment w:val="baseline"/>
              <w:rPr>
                <w:rFonts w:ascii="Times New Roman" w:eastAsia="Times New Roman" w:hAnsi="Times New Roman" w:cs="Times New Roman"/>
                <w:sz w:val="24"/>
                <w:szCs w:val="24"/>
              </w:rPr>
            </w:pPr>
          </w:p>
        </w:tc>
      </w:tr>
      <w:tr w:rsidR="007C2654" w:rsidRPr="007C2654" w14:paraId="1A66DC04" w14:textId="77777777" w:rsidTr="007C2654">
        <w:trPr>
          <w:trHeight w:val="270"/>
        </w:trPr>
        <w:tc>
          <w:tcPr>
            <w:tcW w:w="9360" w:type="dxa"/>
            <w:tcBorders>
              <w:top w:val="single" w:sz="6" w:space="0" w:color="000000"/>
              <w:left w:val="single" w:sz="6" w:space="0" w:color="000000"/>
              <w:bottom w:val="single" w:sz="6" w:space="0" w:color="000000"/>
              <w:right w:val="single" w:sz="6" w:space="0" w:color="000000"/>
            </w:tcBorders>
            <w:shd w:val="clear" w:color="auto" w:fill="0070C0"/>
            <w:hideMark/>
          </w:tcPr>
          <w:p w14:paraId="4CE5792F" w14:textId="77777777" w:rsidR="007C2654" w:rsidRPr="007C2654" w:rsidRDefault="007C2654" w:rsidP="007C2654">
            <w:pPr>
              <w:spacing w:after="0" w:line="240" w:lineRule="auto"/>
              <w:textAlignment w:val="baseline"/>
              <w:rPr>
                <w:rFonts w:ascii="Times New Roman" w:eastAsia="Times New Roman" w:hAnsi="Times New Roman" w:cs="Times New Roman"/>
                <w:sz w:val="24"/>
                <w:szCs w:val="24"/>
              </w:rPr>
            </w:pPr>
            <w:r w:rsidRPr="007C2654">
              <w:rPr>
                <w:rFonts w:ascii="Calibri" w:eastAsia="Times New Roman" w:hAnsi="Calibri" w:cs="Calibri"/>
                <w:b/>
                <w:bCs/>
                <w:color w:val="FFFFFF"/>
                <w:lang w:val="en"/>
              </w:rPr>
              <w:t>ACTION STEPS FOR CHARTER SCHOOL AUTHORIZERS</w:t>
            </w:r>
            <w:r w:rsidRPr="007C2654">
              <w:rPr>
                <w:rFonts w:ascii="Calibri" w:eastAsia="Times New Roman" w:hAnsi="Calibri" w:cs="Calibri"/>
                <w:color w:val="FFFFFF"/>
                <w:lang w:val="en"/>
              </w:rPr>
              <w:t> </w:t>
            </w:r>
            <w:r w:rsidRPr="007C2654">
              <w:rPr>
                <w:rFonts w:ascii="Calibri" w:eastAsia="Times New Roman" w:hAnsi="Calibri" w:cs="Calibri"/>
                <w:color w:val="FFFFFF"/>
              </w:rPr>
              <w:t> </w:t>
            </w:r>
          </w:p>
        </w:tc>
      </w:tr>
      <w:tr w:rsidR="007C2654" w:rsidRPr="007C2654" w14:paraId="6BD3CAF0" w14:textId="77777777" w:rsidTr="007C2654">
        <w:trPr>
          <w:trHeight w:val="1857"/>
        </w:trPr>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07DE10AA" w14:textId="77777777" w:rsidR="007C2654" w:rsidRPr="002754F4" w:rsidRDefault="007C2654" w:rsidP="007C2654">
            <w:pPr>
              <w:pStyle w:val="ListParagraph"/>
              <w:numPr>
                <w:ilvl w:val="0"/>
                <w:numId w:val="11"/>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Develop internal policies and practices that recognize AECs’ contributions to their communities and that celebrate early successes with students by using appropriate measures and metrics.</w:t>
            </w:r>
            <w:r w:rsidRPr="002754F4">
              <w:rPr>
                <w:rFonts w:ascii="Calibri" w:eastAsia="Times New Roman" w:hAnsi="Calibri" w:cs="Calibri"/>
                <w:color w:val="002060"/>
              </w:rPr>
              <w:t> </w:t>
            </w:r>
          </w:p>
          <w:p w14:paraId="42F2F05C" w14:textId="77777777" w:rsidR="007C2654" w:rsidRPr="002754F4" w:rsidRDefault="007C2654" w:rsidP="007C2654">
            <w:pPr>
              <w:pStyle w:val="ListParagraph"/>
              <w:numPr>
                <w:ilvl w:val="0"/>
                <w:numId w:val="11"/>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Commit the necessary time and effort to work with individual AECs to identify the measures that appropriately assess student progress and school success.</w:t>
            </w:r>
            <w:r w:rsidRPr="002754F4">
              <w:rPr>
                <w:rFonts w:ascii="Calibri" w:eastAsia="Times New Roman" w:hAnsi="Calibri" w:cs="Calibri"/>
                <w:color w:val="002060"/>
              </w:rPr>
              <w:t> </w:t>
            </w:r>
          </w:p>
          <w:p w14:paraId="24A512ED" w14:textId="57E9E494" w:rsidR="007C2654" w:rsidRPr="007C2654" w:rsidRDefault="007C2654" w:rsidP="007C2654">
            <w:pPr>
              <w:pStyle w:val="ListParagraph"/>
              <w:numPr>
                <w:ilvl w:val="0"/>
                <w:numId w:val="11"/>
              </w:numPr>
              <w:spacing w:after="0" w:line="240" w:lineRule="auto"/>
              <w:textAlignment w:val="baseline"/>
              <w:rPr>
                <w:rFonts w:ascii="Calibri" w:eastAsia="Times New Roman" w:hAnsi="Calibri" w:cs="Calibri"/>
              </w:rPr>
            </w:pPr>
            <w:r w:rsidRPr="002754F4">
              <w:rPr>
                <w:rFonts w:ascii="Calibri" w:eastAsia="Times New Roman" w:hAnsi="Calibri" w:cs="Calibri"/>
                <w:color w:val="002060"/>
                <w:lang w:val="en"/>
              </w:rPr>
              <w:t>Seek out training, collaborative opportunities, and resources to support accountability innovation and flexibility.</w:t>
            </w:r>
            <w:r w:rsidRPr="002754F4">
              <w:rPr>
                <w:rFonts w:ascii="Calibri" w:eastAsia="Times New Roman" w:hAnsi="Calibri" w:cs="Calibri"/>
                <w:color w:val="002060"/>
              </w:rPr>
              <w:t> </w:t>
            </w:r>
          </w:p>
        </w:tc>
      </w:tr>
      <w:tr w:rsidR="007C2654" w:rsidRPr="007C2654" w14:paraId="790FC4B2" w14:textId="77777777" w:rsidTr="007C2654">
        <w:trPr>
          <w:trHeight w:val="270"/>
        </w:trPr>
        <w:tc>
          <w:tcPr>
            <w:tcW w:w="9360" w:type="dxa"/>
            <w:tcBorders>
              <w:top w:val="single" w:sz="6" w:space="0" w:color="000000"/>
              <w:left w:val="single" w:sz="6" w:space="0" w:color="000000"/>
              <w:bottom w:val="single" w:sz="6" w:space="0" w:color="000000"/>
              <w:right w:val="single" w:sz="6" w:space="0" w:color="000000"/>
            </w:tcBorders>
            <w:shd w:val="clear" w:color="auto" w:fill="0070C0"/>
            <w:hideMark/>
          </w:tcPr>
          <w:p w14:paraId="371D45E9" w14:textId="77777777" w:rsidR="007C2654" w:rsidRPr="007C2654" w:rsidRDefault="007C2654" w:rsidP="007C2654">
            <w:pPr>
              <w:spacing w:after="0" w:line="240" w:lineRule="auto"/>
              <w:textAlignment w:val="baseline"/>
              <w:rPr>
                <w:rFonts w:ascii="Times New Roman" w:eastAsia="Times New Roman" w:hAnsi="Times New Roman" w:cs="Times New Roman"/>
                <w:sz w:val="24"/>
                <w:szCs w:val="24"/>
              </w:rPr>
            </w:pPr>
            <w:r w:rsidRPr="007C2654">
              <w:rPr>
                <w:rFonts w:ascii="Calibri" w:eastAsia="Times New Roman" w:hAnsi="Calibri" w:cs="Calibri"/>
                <w:b/>
                <w:bCs/>
                <w:color w:val="FFFFFF"/>
                <w:lang w:val="en"/>
              </w:rPr>
              <w:t>ACTION STEPS FOR SCHOOL DISTRICTS AND LEAS</w:t>
            </w:r>
            <w:r w:rsidRPr="007C2654">
              <w:rPr>
                <w:rFonts w:ascii="Calibri" w:eastAsia="Times New Roman" w:hAnsi="Calibri" w:cs="Calibri"/>
                <w:color w:val="FFFFFF"/>
              </w:rPr>
              <w:t> </w:t>
            </w:r>
          </w:p>
        </w:tc>
      </w:tr>
      <w:tr w:rsidR="007C2654" w:rsidRPr="007C2654" w14:paraId="7279BDED" w14:textId="77777777" w:rsidTr="007C2654">
        <w:trPr>
          <w:trHeight w:val="540"/>
        </w:trPr>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07647158" w14:textId="77777777" w:rsidR="0016342C" w:rsidRPr="002754F4" w:rsidRDefault="007C2654" w:rsidP="0016342C">
            <w:pPr>
              <w:pStyle w:val="ListParagraph"/>
              <w:numPr>
                <w:ilvl w:val="0"/>
                <w:numId w:val="14"/>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Develop internal policies and practices that recognize AECs’ contributions to their communities and celebrate early successes with students by using appropriate measures and metrics– regardless of an AEC’s organizational structure (i.e., charter, contract, or district run).</w:t>
            </w:r>
            <w:r w:rsidRPr="002754F4">
              <w:rPr>
                <w:rFonts w:ascii="Calibri" w:eastAsia="Times New Roman" w:hAnsi="Calibri" w:cs="Calibri"/>
                <w:color w:val="002060"/>
              </w:rPr>
              <w:t> </w:t>
            </w:r>
          </w:p>
          <w:p w14:paraId="749C8AD7" w14:textId="77777777" w:rsidR="0016342C" w:rsidRPr="002754F4" w:rsidRDefault="007C2654" w:rsidP="0016342C">
            <w:pPr>
              <w:pStyle w:val="ListParagraph"/>
              <w:numPr>
                <w:ilvl w:val="0"/>
                <w:numId w:val="14"/>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Support AECs in identifying measures, metrics, and assessments that are aligned to their students’ needs and the programing and supports offered.</w:t>
            </w:r>
            <w:r w:rsidRPr="002754F4">
              <w:rPr>
                <w:rFonts w:ascii="Calibri" w:eastAsia="Times New Roman" w:hAnsi="Calibri" w:cs="Calibri"/>
                <w:color w:val="002060"/>
              </w:rPr>
              <w:t> </w:t>
            </w:r>
          </w:p>
          <w:p w14:paraId="13E241E6" w14:textId="77777777" w:rsidR="007C2654" w:rsidRPr="0086573F" w:rsidRDefault="007C2654" w:rsidP="0016342C">
            <w:pPr>
              <w:pStyle w:val="ListParagraph"/>
              <w:numPr>
                <w:ilvl w:val="0"/>
                <w:numId w:val="14"/>
              </w:numPr>
              <w:spacing w:after="0" w:line="240" w:lineRule="auto"/>
              <w:textAlignment w:val="baseline"/>
              <w:rPr>
                <w:rFonts w:ascii="Calibri" w:eastAsia="Times New Roman" w:hAnsi="Calibri" w:cs="Calibri"/>
              </w:rPr>
            </w:pPr>
            <w:r w:rsidRPr="002754F4">
              <w:rPr>
                <w:rFonts w:ascii="Calibri" w:eastAsia="Times New Roman" w:hAnsi="Calibri" w:cs="Calibri"/>
                <w:color w:val="002060"/>
                <w:lang w:val="en"/>
              </w:rPr>
              <w:t>Where possible, ensure AEC students are being educated and supported where performance outcomes can be evaluated (i.e., those identified as separate schools subject to accountability rather than programs that roll AEC students’ outcomes in larger entities’ accountability systems, such as large comprehensive high schools or school districts). </w:t>
            </w:r>
            <w:r w:rsidRPr="002754F4">
              <w:rPr>
                <w:rFonts w:ascii="Calibri" w:eastAsia="Times New Roman" w:hAnsi="Calibri" w:cs="Calibri"/>
                <w:color w:val="002060"/>
              </w:rPr>
              <w:t> </w:t>
            </w:r>
          </w:p>
          <w:p w14:paraId="74B8D96A" w14:textId="4C487CA2" w:rsidR="0086573F" w:rsidRPr="0016342C" w:rsidRDefault="0086573F" w:rsidP="0086573F">
            <w:pPr>
              <w:pStyle w:val="ListParagraph"/>
              <w:spacing w:after="0" w:line="240" w:lineRule="auto"/>
              <w:textAlignment w:val="baseline"/>
              <w:rPr>
                <w:rFonts w:ascii="Calibri" w:eastAsia="Times New Roman" w:hAnsi="Calibri" w:cs="Calibri"/>
              </w:rPr>
            </w:pPr>
          </w:p>
        </w:tc>
      </w:tr>
      <w:tr w:rsidR="007C2654" w:rsidRPr="007C2654" w14:paraId="73AB3D83" w14:textId="77777777" w:rsidTr="007C2654">
        <w:trPr>
          <w:trHeight w:val="270"/>
        </w:trPr>
        <w:tc>
          <w:tcPr>
            <w:tcW w:w="9360" w:type="dxa"/>
            <w:tcBorders>
              <w:top w:val="single" w:sz="6" w:space="0" w:color="000000"/>
              <w:left w:val="single" w:sz="6" w:space="0" w:color="000000"/>
              <w:bottom w:val="single" w:sz="6" w:space="0" w:color="000000"/>
              <w:right w:val="single" w:sz="6" w:space="0" w:color="000000"/>
            </w:tcBorders>
            <w:shd w:val="clear" w:color="auto" w:fill="0070C0"/>
            <w:hideMark/>
          </w:tcPr>
          <w:p w14:paraId="43782834" w14:textId="77777777" w:rsidR="007C2654" w:rsidRPr="007C2654" w:rsidRDefault="007C2654" w:rsidP="007C2654">
            <w:pPr>
              <w:spacing w:after="0" w:line="240" w:lineRule="auto"/>
              <w:textAlignment w:val="baseline"/>
              <w:rPr>
                <w:rFonts w:ascii="Times New Roman" w:eastAsia="Times New Roman" w:hAnsi="Times New Roman" w:cs="Times New Roman"/>
                <w:sz w:val="24"/>
                <w:szCs w:val="24"/>
              </w:rPr>
            </w:pPr>
            <w:r w:rsidRPr="007C2654">
              <w:rPr>
                <w:rFonts w:ascii="Calibri" w:eastAsia="Times New Roman" w:hAnsi="Calibri" w:cs="Calibri"/>
                <w:b/>
                <w:bCs/>
                <w:color w:val="FFFFFF"/>
                <w:lang w:val="en"/>
              </w:rPr>
              <w:t>ACTION STEPS FOR ADVOCACY AND SUPPORT ORGANIZATIONS</w:t>
            </w:r>
            <w:r w:rsidRPr="007C2654">
              <w:rPr>
                <w:rFonts w:ascii="Calibri" w:eastAsia="Times New Roman" w:hAnsi="Calibri" w:cs="Calibri"/>
                <w:color w:val="FFFFFF"/>
                <w:lang w:val="en"/>
              </w:rPr>
              <w:t> </w:t>
            </w:r>
            <w:r w:rsidRPr="007C2654">
              <w:rPr>
                <w:rFonts w:ascii="Calibri" w:eastAsia="Times New Roman" w:hAnsi="Calibri" w:cs="Calibri"/>
                <w:color w:val="FFFFFF"/>
              </w:rPr>
              <w:t> </w:t>
            </w:r>
          </w:p>
        </w:tc>
      </w:tr>
      <w:tr w:rsidR="007C2654" w:rsidRPr="007C2654" w14:paraId="6D02835C" w14:textId="77777777" w:rsidTr="007C2654">
        <w:trPr>
          <w:trHeight w:val="450"/>
        </w:trPr>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099A2D4E" w14:textId="54080182" w:rsidR="0016342C" w:rsidRPr="002754F4" w:rsidRDefault="007C2654" w:rsidP="0016342C">
            <w:pPr>
              <w:pStyle w:val="ListParagraph"/>
              <w:numPr>
                <w:ilvl w:val="0"/>
                <w:numId w:val="27"/>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Provide schools with the technical assistance and support to identify and utilize the measures and assessments best suited to their student needs and:</w:t>
            </w:r>
            <w:r w:rsidRPr="002754F4">
              <w:rPr>
                <w:rFonts w:ascii="Calibri" w:eastAsia="Times New Roman" w:hAnsi="Calibri" w:cs="Calibri"/>
                <w:color w:val="002060"/>
              </w:rPr>
              <w:t> </w:t>
            </w:r>
          </w:p>
          <w:p w14:paraId="622B268F" w14:textId="5D64B433" w:rsidR="00EC488D" w:rsidRPr="002754F4" w:rsidRDefault="007C2654" w:rsidP="00EC488D">
            <w:pPr>
              <w:pStyle w:val="ListParagraph"/>
              <w:numPr>
                <w:ilvl w:val="1"/>
                <w:numId w:val="14"/>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 xml:space="preserve"> Ensure schools (and oversight authorities) have access to the widest possible range/ repository of measure and assessment resources</w:t>
            </w:r>
            <w:r w:rsidR="009C4C51">
              <w:rPr>
                <w:rFonts w:ascii="Calibri" w:eastAsia="Times New Roman" w:hAnsi="Calibri" w:cs="Calibri"/>
                <w:color w:val="002060"/>
                <w:lang w:val="en"/>
              </w:rPr>
              <w:t>, and</w:t>
            </w:r>
          </w:p>
          <w:p w14:paraId="5864206A" w14:textId="02E9E60D" w:rsidR="007C2654" w:rsidRPr="002754F4" w:rsidRDefault="007C2654" w:rsidP="00EC488D">
            <w:pPr>
              <w:pStyle w:val="ListParagraph"/>
              <w:numPr>
                <w:ilvl w:val="1"/>
                <w:numId w:val="14"/>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 xml:space="preserve"> Provide AECs with opportunities to collaborate with peers.</w:t>
            </w:r>
            <w:r w:rsidRPr="002754F4">
              <w:rPr>
                <w:rFonts w:ascii="Calibri" w:eastAsia="Times New Roman" w:hAnsi="Calibri" w:cs="Calibri"/>
                <w:color w:val="002060"/>
              </w:rPr>
              <w:t> </w:t>
            </w:r>
          </w:p>
          <w:p w14:paraId="53AB0B1F" w14:textId="77777777" w:rsidR="00EC488D" w:rsidRPr="002754F4" w:rsidRDefault="007C2654" w:rsidP="00EC488D">
            <w:pPr>
              <w:pStyle w:val="ListParagraph"/>
              <w:numPr>
                <w:ilvl w:val="0"/>
                <w:numId w:val="27"/>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Work to strengthen the AEC policy environment through:</w:t>
            </w:r>
            <w:r w:rsidRPr="002754F4">
              <w:rPr>
                <w:rFonts w:ascii="Calibri" w:eastAsia="Times New Roman" w:hAnsi="Calibri" w:cs="Calibri"/>
                <w:color w:val="002060"/>
              </w:rPr>
              <w:t> </w:t>
            </w:r>
          </w:p>
          <w:p w14:paraId="47E73E8E" w14:textId="04ADCAB4" w:rsidR="00EC488D" w:rsidRPr="002754F4" w:rsidRDefault="007C2654" w:rsidP="00EC488D">
            <w:pPr>
              <w:pStyle w:val="ListParagraph"/>
              <w:numPr>
                <w:ilvl w:val="1"/>
                <w:numId w:val="11"/>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lastRenderedPageBreak/>
              <w:t xml:space="preserve"> Active dissemination of the policy goals identified herein to national audiences</w:t>
            </w:r>
            <w:r w:rsidR="009C4C51">
              <w:rPr>
                <w:rFonts w:ascii="Calibri" w:eastAsia="Times New Roman" w:hAnsi="Calibri" w:cs="Calibri"/>
                <w:color w:val="002060"/>
                <w:lang w:val="en"/>
              </w:rPr>
              <w:t>, and</w:t>
            </w:r>
          </w:p>
          <w:p w14:paraId="5AFD2CA6" w14:textId="77777777" w:rsidR="00EC488D" w:rsidRPr="002754F4" w:rsidRDefault="007C2654" w:rsidP="00EC488D">
            <w:pPr>
              <w:pStyle w:val="ListParagraph"/>
              <w:numPr>
                <w:ilvl w:val="1"/>
                <w:numId w:val="11"/>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Stronger connections between the variety of partners interested in collaborating to reimagine accountability and strengthen opportunities for AEC students and schools.</w:t>
            </w:r>
            <w:r w:rsidRPr="002754F4">
              <w:rPr>
                <w:rFonts w:ascii="Calibri" w:eastAsia="Times New Roman" w:hAnsi="Calibri" w:cs="Calibri"/>
                <w:color w:val="002060"/>
              </w:rPr>
              <w:t> </w:t>
            </w:r>
          </w:p>
          <w:p w14:paraId="76C5A3D8" w14:textId="77777777" w:rsidR="00EC488D" w:rsidRPr="002754F4" w:rsidRDefault="007C2654" w:rsidP="00EC488D">
            <w:pPr>
              <w:pStyle w:val="ListParagraph"/>
              <w:numPr>
                <w:ilvl w:val="0"/>
                <w:numId w:val="27"/>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Document and disseminate the experiences of states, school districts, and authorizers modeling student-centered accountability practices, including (where possible), but not limited to:</w:t>
            </w:r>
            <w:r w:rsidRPr="002754F4">
              <w:rPr>
                <w:rFonts w:ascii="Calibri" w:eastAsia="Times New Roman" w:hAnsi="Calibri" w:cs="Calibri"/>
                <w:color w:val="002060"/>
              </w:rPr>
              <w:t> </w:t>
            </w:r>
          </w:p>
          <w:p w14:paraId="15C7E94F" w14:textId="1A4601D5" w:rsidR="00EC488D" w:rsidRPr="002754F4" w:rsidRDefault="007C2654" w:rsidP="00EC488D">
            <w:pPr>
              <w:pStyle w:val="ListParagraph"/>
              <w:numPr>
                <w:ilvl w:val="1"/>
                <w:numId w:val="20"/>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Illustrations of different methods of incorporating student-centered measures (e.g., as replacement measures or as supplemental measures)</w:t>
            </w:r>
            <w:r w:rsidR="009C4C51">
              <w:rPr>
                <w:rFonts w:ascii="Calibri" w:eastAsia="Times New Roman" w:hAnsi="Calibri" w:cs="Calibri"/>
                <w:color w:val="002060"/>
                <w:lang w:val="en"/>
              </w:rPr>
              <w:t>,</w:t>
            </w:r>
            <w:r w:rsidRPr="002754F4">
              <w:rPr>
                <w:rFonts w:ascii="Calibri" w:eastAsia="Times New Roman" w:hAnsi="Calibri" w:cs="Calibri"/>
                <w:color w:val="002060"/>
              </w:rPr>
              <w:t> </w:t>
            </w:r>
          </w:p>
          <w:p w14:paraId="7ECD957B" w14:textId="77777777" w:rsidR="00EC488D" w:rsidRPr="002754F4" w:rsidRDefault="007C2654" w:rsidP="00EC488D">
            <w:pPr>
              <w:pStyle w:val="ListParagraph"/>
              <w:numPr>
                <w:ilvl w:val="1"/>
                <w:numId w:val="20"/>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Developing a repository of data and information regarding the types of measures, metrics, and assessments being used and in which contexts, and</w:t>
            </w:r>
            <w:r w:rsidRPr="002754F4">
              <w:rPr>
                <w:rFonts w:ascii="Calibri" w:eastAsia="Times New Roman" w:hAnsi="Calibri" w:cs="Calibri"/>
                <w:color w:val="002060"/>
              </w:rPr>
              <w:t> </w:t>
            </w:r>
          </w:p>
          <w:p w14:paraId="47A7F65F" w14:textId="6A06CF5F" w:rsidR="007C2654" w:rsidRDefault="007C2654" w:rsidP="007C2654">
            <w:pPr>
              <w:pStyle w:val="ListParagraph"/>
              <w:numPr>
                <w:ilvl w:val="1"/>
                <w:numId w:val="20"/>
              </w:numPr>
              <w:spacing w:after="0" w:line="240" w:lineRule="auto"/>
              <w:textAlignment w:val="baseline"/>
              <w:rPr>
                <w:rFonts w:ascii="Calibri" w:eastAsia="Times New Roman" w:hAnsi="Calibri" w:cs="Calibri"/>
                <w:color w:val="002060"/>
              </w:rPr>
            </w:pPr>
            <w:r w:rsidRPr="002754F4">
              <w:rPr>
                <w:rFonts w:ascii="Calibri" w:eastAsia="Times New Roman" w:hAnsi="Calibri" w:cs="Calibri"/>
                <w:color w:val="002060"/>
                <w:lang w:val="en"/>
              </w:rPr>
              <w:t>Research and analysis of AEC outcomes on a variety of measures.</w:t>
            </w:r>
            <w:r w:rsidRPr="002754F4">
              <w:rPr>
                <w:rFonts w:ascii="Calibri" w:eastAsia="Times New Roman" w:hAnsi="Calibri" w:cs="Calibri"/>
                <w:color w:val="002060"/>
              </w:rPr>
              <w:t> </w:t>
            </w:r>
          </w:p>
          <w:p w14:paraId="224E5FE8" w14:textId="77777777" w:rsidR="0086573F" w:rsidRPr="002754F4" w:rsidRDefault="0086573F" w:rsidP="0086573F">
            <w:pPr>
              <w:pStyle w:val="ListParagraph"/>
              <w:spacing w:after="0" w:line="240" w:lineRule="auto"/>
              <w:ind w:left="1440"/>
              <w:textAlignment w:val="baseline"/>
              <w:rPr>
                <w:rFonts w:ascii="Calibri" w:eastAsia="Times New Roman" w:hAnsi="Calibri" w:cs="Calibri"/>
                <w:color w:val="002060"/>
              </w:rPr>
            </w:pPr>
          </w:p>
          <w:p w14:paraId="5E5B3B65" w14:textId="6EFEFFCB" w:rsidR="00BB6C94" w:rsidRPr="00BB6C94" w:rsidRDefault="00BB6C94" w:rsidP="00BB6C94">
            <w:pPr>
              <w:pStyle w:val="ListParagraph"/>
              <w:spacing w:after="0" w:line="240" w:lineRule="auto"/>
              <w:ind w:left="1440"/>
              <w:textAlignment w:val="baseline"/>
              <w:rPr>
                <w:rFonts w:ascii="Calibri" w:eastAsia="Times New Roman" w:hAnsi="Calibri" w:cs="Calibri"/>
              </w:rPr>
            </w:pPr>
          </w:p>
        </w:tc>
      </w:tr>
      <w:tr w:rsidR="007C2654" w:rsidRPr="007C2654" w14:paraId="17806443" w14:textId="77777777" w:rsidTr="008B5AF0">
        <w:trPr>
          <w:trHeight w:val="345"/>
        </w:trPr>
        <w:tc>
          <w:tcPr>
            <w:tcW w:w="9360" w:type="dxa"/>
            <w:tcBorders>
              <w:top w:val="single" w:sz="6" w:space="0" w:color="000000"/>
              <w:left w:val="single" w:sz="6" w:space="0" w:color="000000"/>
              <w:bottom w:val="single" w:sz="6" w:space="0" w:color="000000"/>
              <w:right w:val="single" w:sz="6" w:space="0" w:color="000000"/>
            </w:tcBorders>
            <w:shd w:val="clear" w:color="auto" w:fill="0070C0"/>
            <w:hideMark/>
          </w:tcPr>
          <w:p w14:paraId="14763FF5" w14:textId="77777777" w:rsidR="007C2654" w:rsidRPr="007C2654" w:rsidRDefault="007C2654" w:rsidP="007C2654">
            <w:pPr>
              <w:spacing w:after="0" w:line="240" w:lineRule="auto"/>
              <w:textAlignment w:val="baseline"/>
              <w:rPr>
                <w:rFonts w:ascii="Times New Roman" w:eastAsia="Times New Roman" w:hAnsi="Times New Roman" w:cs="Times New Roman"/>
                <w:sz w:val="24"/>
                <w:szCs w:val="24"/>
              </w:rPr>
            </w:pPr>
            <w:r w:rsidRPr="007C2654">
              <w:rPr>
                <w:rFonts w:ascii="Calibri" w:eastAsia="Times New Roman" w:hAnsi="Calibri" w:cs="Calibri"/>
                <w:b/>
                <w:bCs/>
                <w:color w:val="FFFFFF"/>
                <w:lang w:val="en"/>
              </w:rPr>
              <w:lastRenderedPageBreak/>
              <w:t>ACTION STEPS FOR PHILANTHROPY</w:t>
            </w:r>
            <w:r w:rsidRPr="007C2654">
              <w:rPr>
                <w:rFonts w:ascii="Calibri" w:eastAsia="Times New Roman" w:hAnsi="Calibri" w:cs="Calibri"/>
                <w:color w:val="FFFFFF"/>
              </w:rPr>
              <w:t> </w:t>
            </w:r>
          </w:p>
        </w:tc>
      </w:tr>
      <w:tr w:rsidR="007C2654" w:rsidRPr="007C2654" w14:paraId="133714A6" w14:textId="77777777" w:rsidTr="007C2654">
        <w:trPr>
          <w:trHeight w:val="450"/>
        </w:trPr>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366417A1" w14:textId="37D1BF47" w:rsidR="007C2654" w:rsidRDefault="00D90EC2" w:rsidP="00D90EC2">
            <w:pPr>
              <w:spacing w:after="0" w:line="240" w:lineRule="auto"/>
              <w:ind w:left="360"/>
              <w:textAlignment w:val="baseline"/>
              <w:rPr>
                <w:rStyle w:val="eop"/>
                <w:rFonts w:ascii="Calibri" w:hAnsi="Calibri" w:cs="Calibri"/>
                <w:color w:val="002060"/>
                <w:shd w:val="clear" w:color="auto" w:fill="FFFFFF"/>
              </w:rPr>
            </w:pPr>
            <w:r>
              <w:rPr>
                <w:rStyle w:val="normaltextrun"/>
                <w:rFonts w:ascii="Calibri" w:hAnsi="Calibri" w:cs="Calibri"/>
                <w:color w:val="002060"/>
                <w:shd w:val="clear" w:color="auto" w:fill="FFFFFF"/>
                <w:lang w:val="en"/>
              </w:rPr>
              <w:t>1</w:t>
            </w:r>
            <w:r>
              <w:rPr>
                <w:rStyle w:val="normaltextrun"/>
                <w:shd w:val="clear" w:color="auto" w:fill="FFFFFF"/>
              </w:rPr>
              <w:t xml:space="preserve">.  </w:t>
            </w:r>
            <w:r w:rsidR="00BB6C94" w:rsidRPr="00D90EC2">
              <w:rPr>
                <w:rStyle w:val="normaltextrun"/>
                <w:rFonts w:ascii="Calibri" w:hAnsi="Calibri" w:cs="Calibri"/>
                <w:color w:val="002060"/>
                <w:shd w:val="clear" w:color="auto" w:fill="FFFFFF"/>
                <w:lang w:val="en"/>
              </w:rPr>
              <w:t>Intentionally address the unique funding needs of many AECs by directing attention and</w:t>
            </w:r>
            <w:r w:rsidR="00770675">
              <w:rPr>
                <w:rStyle w:val="normaltextrun"/>
                <w:rFonts w:ascii="Calibri" w:hAnsi="Calibri" w:cs="Calibri"/>
                <w:color w:val="002060"/>
                <w:shd w:val="clear" w:color="auto" w:fill="FFFFFF"/>
                <w:lang w:val="en"/>
              </w:rPr>
              <w:t xml:space="preserve"> </w:t>
            </w:r>
            <w:r w:rsidR="00BB6C94" w:rsidRPr="00D90EC2">
              <w:rPr>
                <w:rStyle w:val="normaltextrun"/>
                <w:rFonts w:ascii="Calibri" w:hAnsi="Calibri" w:cs="Calibri"/>
                <w:color w:val="002060"/>
                <w:shd w:val="clear" w:color="auto" w:fill="FFFFFF"/>
                <w:lang w:val="en"/>
              </w:rPr>
              <w:t>resources to the AEC community.  </w:t>
            </w:r>
            <w:r w:rsidR="00BB6C94" w:rsidRPr="00D90EC2">
              <w:rPr>
                <w:rStyle w:val="eop"/>
                <w:rFonts w:ascii="Calibri" w:hAnsi="Calibri" w:cs="Calibri"/>
                <w:color w:val="002060"/>
                <w:shd w:val="clear" w:color="auto" w:fill="FFFFFF"/>
              </w:rPr>
              <w:t> </w:t>
            </w:r>
          </w:p>
          <w:p w14:paraId="2F93DD1C" w14:textId="77777777" w:rsidR="00D90EC2" w:rsidRPr="00D90EC2" w:rsidRDefault="00D90EC2" w:rsidP="00D90EC2">
            <w:pPr>
              <w:spacing w:after="0" w:line="240" w:lineRule="auto"/>
              <w:ind w:left="360"/>
              <w:textAlignment w:val="baseline"/>
              <w:rPr>
                <w:rStyle w:val="eop"/>
                <w:rFonts w:ascii="Calibri" w:hAnsi="Calibri" w:cs="Calibri"/>
                <w:color w:val="002060"/>
                <w:shd w:val="clear" w:color="auto" w:fill="FFFFFF"/>
              </w:rPr>
            </w:pPr>
          </w:p>
          <w:p w14:paraId="2C27F036" w14:textId="33C20C71" w:rsidR="0086573F" w:rsidRPr="00BB6C94" w:rsidRDefault="0086573F" w:rsidP="00BB6C94">
            <w:pPr>
              <w:spacing w:after="0" w:line="240" w:lineRule="auto"/>
              <w:textAlignment w:val="baseline"/>
              <w:rPr>
                <w:rFonts w:ascii="Times New Roman" w:eastAsia="Times New Roman" w:hAnsi="Times New Roman" w:cs="Times New Roman"/>
                <w:sz w:val="24"/>
                <w:szCs w:val="24"/>
              </w:rPr>
            </w:pPr>
          </w:p>
        </w:tc>
      </w:tr>
      <w:tr w:rsidR="007C2654" w:rsidRPr="007C2654" w14:paraId="3613776F" w14:textId="77777777" w:rsidTr="008B5AF0">
        <w:trPr>
          <w:trHeight w:val="327"/>
        </w:trPr>
        <w:tc>
          <w:tcPr>
            <w:tcW w:w="9360" w:type="dxa"/>
            <w:tcBorders>
              <w:top w:val="single" w:sz="6" w:space="0" w:color="000000"/>
              <w:left w:val="single" w:sz="6" w:space="0" w:color="000000"/>
              <w:bottom w:val="single" w:sz="6" w:space="0" w:color="000000"/>
              <w:right w:val="single" w:sz="6" w:space="0" w:color="000000"/>
            </w:tcBorders>
            <w:shd w:val="clear" w:color="auto" w:fill="0070C0"/>
            <w:hideMark/>
          </w:tcPr>
          <w:p w14:paraId="431FCD4A" w14:textId="77777777" w:rsidR="007C2654" w:rsidRPr="007C2654" w:rsidRDefault="007C2654" w:rsidP="007C2654">
            <w:pPr>
              <w:spacing w:after="0" w:line="240" w:lineRule="auto"/>
              <w:textAlignment w:val="baseline"/>
              <w:rPr>
                <w:rFonts w:ascii="Times New Roman" w:eastAsia="Times New Roman" w:hAnsi="Times New Roman" w:cs="Times New Roman"/>
                <w:sz w:val="24"/>
                <w:szCs w:val="24"/>
              </w:rPr>
            </w:pPr>
            <w:r w:rsidRPr="007C2654">
              <w:rPr>
                <w:rFonts w:ascii="Calibri" w:eastAsia="Times New Roman" w:hAnsi="Calibri" w:cs="Calibri"/>
                <w:b/>
                <w:bCs/>
                <w:color w:val="FFFFFF"/>
                <w:lang w:val="en"/>
              </w:rPr>
              <w:t>ACTION STEP FOR THE US AND STATE DEPARTMENTS OF EDUCATION</w:t>
            </w:r>
            <w:r w:rsidRPr="007C2654">
              <w:rPr>
                <w:rFonts w:ascii="Calibri" w:eastAsia="Times New Roman" w:hAnsi="Calibri" w:cs="Calibri"/>
              </w:rPr>
              <w:t> </w:t>
            </w:r>
          </w:p>
        </w:tc>
      </w:tr>
      <w:tr w:rsidR="007C2654" w:rsidRPr="007C2654" w14:paraId="3A2F2952" w14:textId="77777777" w:rsidTr="007C2654">
        <w:trPr>
          <w:trHeight w:val="450"/>
        </w:trPr>
        <w:tc>
          <w:tcPr>
            <w:tcW w:w="9360" w:type="dxa"/>
            <w:tcBorders>
              <w:top w:val="single" w:sz="6" w:space="0" w:color="000000"/>
              <w:left w:val="single" w:sz="6" w:space="0" w:color="000000"/>
              <w:bottom w:val="single" w:sz="6" w:space="0" w:color="000000"/>
              <w:right w:val="single" w:sz="6" w:space="0" w:color="000000"/>
            </w:tcBorders>
            <w:shd w:val="clear" w:color="auto" w:fill="auto"/>
            <w:hideMark/>
          </w:tcPr>
          <w:p w14:paraId="23D9B837" w14:textId="095C0C11" w:rsidR="007C2654" w:rsidRPr="00D90EC2" w:rsidRDefault="00D90EC2" w:rsidP="00D90EC2">
            <w:pPr>
              <w:spacing w:after="0" w:line="240" w:lineRule="auto"/>
              <w:ind w:left="360"/>
              <w:textAlignment w:val="baseline"/>
              <w:rPr>
                <w:rFonts w:ascii="Calibri" w:eastAsia="Times New Roman" w:hAnsi="Calibri" w:cs="Calibri"/>
                <w:color w:val="002060"/>
              </w:rPr>
            </w:pPr>
            <w:r>
              <w:rPr>
                <w:rFonts w:ascii="Calibri" w:eastAsia="Times New Roman" w:hAnsi="Calibri" w:cs="Calibri"/>
                <w:color w:val="002060"/>
                <w:lang w:val="en"/>
              </w:rPr>
              <w:t xml:space="preserve">1.  </w:t>
            </w:r>
            <w:r w:rsidR="007C2654" w:rsidRPr="00D90EC2">
              <w:rPr>
                <w:rFonts w:ascii="Calibri" w:eastAsia="Times New Roman" w:hAnsi="Calibri" w:cs="Calibri"/>
                <w:color w:val="002060"/>
                <w:lang w:val="en"/>
              </w:rPr>
              <w:t>Prioritize AECs and their students as a distinct group and provide comparably distinct systems, supports, and resources to address their needs.</w:t>
            </w:r>
          </w:p>
          <w:p w14:paraId="727CD61E" w14:textId="77777777" w:rsidR="007C2654" w:rsidRPr="007C2654" w:rsidRDefault="007C2654" w:rsidP="007C2654">
            <w:pPr>
              <w:spacing w:after="0" w:line="240" w:lineRule="auto"/>
              <w:textAlignment w:val="baseline"/>
              <w:rPr>
                <w:rFonts w:ascii="Times New Roman" w:eastAsia="Times New Roman" w:hAnsi="Times New Roman" w:cs="Times New Roman"/>
                <w:sz w:val="24"/>
                <w:szCs w:val="24"/>
              </w:rPr>
            </w:pPr>
            <w:r w:rsidRPr="007C2654">
              <w:rPr>
                <w:rFonts w:ascii="Calibri" w:eastAsia="Times New Roman" w:hAnsi="Calibri" w:cs="Calibri"/>
              </w:rPr>
              <w:t> </w:t>
            </w:r>
          </w:p>
        </w:tc>
      </w:tr>
    </w:tbl>
    <w:p w14:paraId="3E510256" w14:textId="77777777" w:rsidR="007C2654" w:rsidRPr="007C2654" w:rsidRDefault="007C2654" w:rsidP="007C2654">
      <w:pPr>
        <w:spacing w:after="0" w:line="240" w:lineRule="auto"/>
        <w:textAlignment w:val="baseline"/>
        <w:rPr>
          <w:rFonts w:ascii="Segoe UI" w:eastAsia="Times New Roman" w:hAnsi="Segoe UI" w:cs="Segoe UI"/>
          <w:sz w:val="18"/>
          <w:szCs w:val="18"/>
        </w:rPr>
      </w:pPr>
      <w:r w:rsidRPr="007C2654">
        <w:rPr>
          <w:rFonts w:ascii="Arial" w:eastAsia="Times New Roman" w:hAnsi="Arial" w:cs="Arial"/>
        </w:rPr>
        <w:t> </w:t>
      </w:r>
    </w:p>
    <w:p w14:paraId="44D36506" w14:textId="77777777" w:rsidR="007C2654" w:rsidRPr="007C2654" w:rsidRDefault="007C2654" w:rsidP="007C2654">
      <w:pPr>
        <w:spacing w:after="0" w:line="240" w:lineRule="auto"/>
        <w:textAlignment w:val="baseline"/>
        <w:rPr>
          <w:rFonts w:ascii="Segoe UI" w:eastAsia="Times New Roman" w:hAnsi="Segoe UI" w:cs="Segoe UI"/>
          <w:sz w:val="18"/>
          <w:szCs w:val="18"/>
        </w:rPr>
      </w:pPr>
      <w:r w:rsidRPr="007C2654">
        <w:rPr>
          <w:rFonts w:ascii="Arial" w:eastAsia="Times New Roman" w:hAnsi="Arial" w:cs="Arial"/>
        </w:rPr>
        <w:t> </w:t>
      </w:r>
    </w:p>
    <w:p w14:paraId="7CD77177" w14:textId="77777777" w:rsidR="007C2654" w:rsidRPr="007C2654" w:rsidRDefault="007C2654" w:rsidP="007C2654">
      <w:pPr>
        <w:spacing w:after="0" w:line="240" w:lineRule="auto"/>
        <w:textAlignment w:val="baseline"/>
        <w:rPr>
          <w:rFonts w:ascii="Segoe UI" w:eastAsia="Times New Roman" w:hAnsi="Segoe UI" w:cs="Segoe UI"/>
          <w:sz w:val="18"/>
          <w:szCs w:val="18"/>
        </w:rPr>
      </w:pPr>
      <w:r w:rsidRPr="007C2654">
        <w:rPr>
          <w:rFonts w:ascii="Arial" w:eastAsia="Times New Roman" w:hAnsi="Arial" w:cs="Arial"/>
        </w:rPr>
        <w:t> </w:t>
      </w:r>
    </w:p>
    <w:p w14:paraId="27572E85" w14:textId="0B3BA120" w:rsidR="005E2A2C" w:rsidRPr="007C2654" w:rsidRDefault="005E2A2C" w:rsidP="007C2654">
      <w:pPr>
        <w:spacing w:after="0" w:line="240" w:lineRule="auto"/>
        <w:textAlignment w:val="baseline"/>
        <w:rPr>
          <w:rFonts w:ascii="Segoe UI" w:eastAsia="Times New Roman" w:hAnsi="Segoe UI" w:cs="Segoe UI"/>
          <w:sz w:val="18"/>
          <w:szCs w:val="18"/>
        </w:rPr>
      </w:pPr>
    </w:p>
    <w:sectPr w:rsidR="005E2A2C" w:rsidRPr="007C26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C5DC4"/>
    <w:multiLevelType w:val="multilevel"/>
    <w:tmpl w:val="17BCF6F2"/>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46214"/>
    <w:multiLevelType w:val="multilevel"/>
    <w:tmpl w:val="A3F223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E06585"/>
    <w:multiLevelType w:val="multilevel"/>
    <w:tmpl w:val="F5CE872A"/>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D06E96"/>
    <w:multiLevelType w:val="multilevel"/>
    <w:tmpl w:val="9B3CF56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221B06"/>
    <w:multiLevelType w:val="multilevel"/>
    <w:tmpl w:val="B92096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5A0DED"/>
    <w:multiLevelType w:val="hybridMultilevel"/>
    <w:tmpl w:val="0CBCD5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657B1A"/>
    <w:multiLevelType w:val="multilevel"/>
    <w:tmpl w:val="B498E1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CB74C3"/>
    <w:multiLevelType w:val="hybridMultilevel"/>
    <w:tmpl w:val="6F347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B33866"/>
    <w:multiLevelType w:val="multilevel"/>
    <w:tmpl w:val="A51A8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2AF3B74"/>
    <w:multiLevelType w:val="multilevel"/>
    <w:tmpl w:val="2A7074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30941B8"/>
    <w:multiLevelType w:val="multilevel"/>
    <w:tmpl w:val="E6002F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B12650"/>
    <w:multiLevelType w:val="hybridMultilevel"/>
    <w:tmpl w:val="465CC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E77F11"/>
    <w:multiLevelType w:val="multilevel"/>
    <w:tmpl w:val="2C029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6268E3"/>
    <w:multiLevelType w:val="multilevel"/>
    <w:tmpl w:val="569AC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CF616C4"/>
    <w:multiLevelType w:val="multilevel"/>
    <w:tmpl w:val="2D72D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31306B"/>
    <w:multiLevelType w:val="multilevel"/>
    <w:tmpl w:val="8626D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432271"/>
    <w:multiLevelType w:val="multilevel"/>
    <w:tmpl w:val="13A27148"/>
    <w:styleLink w:val="CurrentList1"/>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7" w15:restartNumberingAfterBreak="0">
    <w:nsid w:val="61751A0C"/>
    <w:multiLevelType w:val="multilevel"/>
    <w:tmpl w:val="ECC4B9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8433B7"/>
    <w:multiLevelType w:val="multilevel"/>
    <w:tmpl w:val="73CA85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4A5308"/>
    <w:multiLevelType w:val="multilevel"/>
    <w:tmpl w:val="61E4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7F029B2"/>
    <w:multiLevelType w:val="hybridMultilevel"/>
    <w:tmpl w:val="B7F24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AEF2462"/>
    <w:multiLevelType w:val="multilevel"/>
    <w:tmpl w:val="FE8AA58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3CA6019"/>
    <w:multiLevelType w:val="multilevel"/>
    <w:tmpl w:val="CA1072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52E2D8D"/>
    <w:multiLevelType w:val="multilevel"/>
    <w:tmpl w:val="4E6E3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92C5DEC"/>
    <w:multiLevelType w:val="multilevel"/>
    <w:tmpl w:val="FCF01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D3530E8"/>
    <w:multiLevelType w:val="multilevel"/>
    <w:tmpl w:val="E7E249E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7DB027F1"/>
    <w:multiLevelType w:val="multilevel"/>
    <w:tmpl w:val="F4203A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E13574"/>
    <w:multiLevelType w:val="multilevel"/>
    <w:tmpl w:val="AE64B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8300792">
    <w:abstractNumId w:val="24"/>
  </w:num>
  <w:num w:numId="2" w16cid:durableId="186794766">
    <w:abstractNumId w:val="2"/>
  </w:num>
  <w:num w:numId="3" w16cid:durableId="1323973138">
    <w:abstractNumId w:val="18"/>
  </w:num>
  <w:num w:numId="4" w16cid:durableId="364405135">
    <w:abstractNumId w:val="26"/>
  </w:num>
  <w:num w:numId="5" w16cid:durableId="946546831">
    <w:abstractNumId w:val="6"/>
  </w:num>
  <w:num w:numId="6" w16cid:durableId="1517424927">
    <w:abstractNumId w:val="4"/>
  </w:num>
  <w:num w:numId="7" w16cid:durableId="2008441852">
    <w:abstractNumId w:val="19"/>
  </w:num>
  <w:num w:numId="8" w16cid:durableId="1920168535">
    <w:abstractNumId w:val="14"/>
  </w:num>
  <w:num w:numId="9" w16cid:durableId="505486297">
    <w:abstractNumId w:val="27"/>
  </w:num>
  <w:num w:numId="10" w16cid:durableId="1756122396">
    <w:abstractNumId w:val="8"/>
  </w:num>
  <w:num w:numId="11" w16cid:durableId="78328168">
    <w:abstractNumId w:val="3"/>
  </w:num>
  <w:num w:numId="12" w16cid:durableId="409618754">
    <w:abstractNumId w:val="17"/>
  </w:num>
  <w:num w:numId="13" w16cid:durableId="224266476">
    <w:abstractNumId w:val="23"/>
  </w:num>
  <w:num w:numId="14" w16cid:durableId="1975257058">
    <w:abstractNumId w:val="0"/>
  </w:num>
  <w:num w:numId="15" w16cid:durableId="1630821425">
    <w:abstractNumId w:val="21"/>
  </w:num>
  <w:num w:numId="16" w16cid:durableId="183326944">
    <w:abstractNumId w:val="15"/>
  </w:num>
  <w:num w:numId="17" w16cid:durableId="738526208">
    <w:abstractNumId w:val="10"/>
  </w:num>
  <w:num w:numId="18" w16cid:durableId="958529610">
    <w:abstractNumId w:val="1"/>
  </w:num>
  <w:num w:numId="19" w16cid:durableId="187454120">
    <w:abstractNumId w:val="22"/>
  </w:num>
  <w:num w:numId="20" w16cid:durableId="1781025010">
    <w:abstractNumId w:val="25"/>
  </w:num>
  <w:num w:numId="21" w16cid:durableId="1514495702">
    <w:abstractNumId w:val="9"/>
  </w:num>
  <w:num w:numId="22" w16cid:durableId="369261145">
    <w:abstractNumId w:val="13"/>
  </w:num>
  <w:num w:numId="23" w16cid:durableId="977612524">
    <w:abstractNumId w:val="12"/>
  </w:num>
  <w:num w:numId="24" w16cid:durableId="1353263757">
    <w:abstractNumId w:val="20"/>
  </w:num>
  <w:num w:numId="25" w16cid:durableId="1547137239">
    <w:abstractNumId w:val="7"/>
  </w:num>
  <w:num w:numId="26" w16cid:durableId="1070006336">
    <w:abstractNumId w:val="11"/>
  </w:num>
  <w:num w:numId="27" w16cid:durableId="822624443">
    <w:abstractNumId w:val="5"/>
  </w:num>
  <w:num w:numId="28" w16cid:durableId="8660199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654"/>
    <w:rsid w:val="001269B3"/>
    <w:rsid w:val="0016342C"/>
    <w:rsid w:val="001F7DA4"/>
    <w:rsid w:val="002754F4"/>
    <w:rsid w:val="003035B9"/>
    <w:rsid w:val="005E2A2C"/>
    <w:rsid w:val="0074495D"/>
    <w:rsid w:val="00770675"/>
    <w:rsid w:val="007866F9"/>
    <w:rsid w:val="007B1AB2"/>
    <w:rsid w:val="007C2654"/>
    <w:rsid w:val="0086573F"/>
    <w:rsid w:val="008B5AF0"/>
    <w:rsid w:val="0099633B"/>
    <w:rsid w:val="009C4C51"/>
    <w:rsid w:val="00A33957"/>
    <w:rsid w:val="00A5036E"/>
    <w:rsid w:val="00A96012"/>
    <w:rsid w:val="00AE6DEC"/>
    <w:rsid w:val="00BA672E"/>
    <w:rsid w:val="00BB6C94"/>
    <w:rsid w:val="00BC1395"/>
    <w:rsid w:val="00D900A7"/>
    <w:rsid w:val="00D90EC2"/>
    <w:rsid w:val="00EC488D"/>
    <w:rsid w:val="00FB4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E4FAE"/>
  <w15:chartTrackingRefBased/>
  <w15:docId w15:val="{8DC010EB-AA82-4A23-B2B9-A682D954B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7C26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C2654"/>
  </w:style>
  <w:style w:type="character" w:customStyle="1" w:styleId="eop">
    <w:name w:val="eop"/>
    <w:basedOn w:val="DefaultParagraphFont"/>
    <w:rsid w:val="007C2654"/>
  </w:style>
  <w:style w:type="paragraph" w:styleId="ListParagraph">
    <w:name w:val="List Paragraph"/>
    <w:basedOn w:val="Normal"/>
    <w:uiPriority w:val="34"/>
    <w:qFormat/>
    <w:rsid w:val="007C2654"/>
    <w:pPr>
      <w:ind w:left="720"/>
      <w:contextualSpacing/>
    </w:pPr>
  </w:style>
  <w:style w:type="numbering" w:customStyle="1" w:styleId="CurrentList1">
    <w:name w:val="Current List1"/>
    <w:uiPriority w:val="99"/>
    <w:rsid w:val="00D900A7"/>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102048">
      <w:bodyDiv w:val="1"/>
      <w:marLeft w:val="0"/>
      <w:marRight w:val="0"/>
      <w:marTop w:val="0"/>
      <w:marBottom w:val="0"/>
      <w:divBdr>
        <w:top w:val="none" w:sz="0" w:space="0" w:color="auto"/>
        <w:left w:val="none" w:sz="0" w:space="0" w:color="auto"/>
        <w:bottom w:val="none" w:sz="0" w:space="0" w:color="auto"/>
        <w:right w:val="none" w:sz="0" w:space="0" w:color="auto"/>
      </w:divBdr>
      <w:divsChild>
        <w:div w:id="1003435260">
          <w:marLeft w:val="0"/>
          <w:marRight w:val="0"/>
          <w:marTop w:val="0"/>
          <w:marBottom w:val="0"/>
          <w:divBdr>
            <w:top w:val="none" w:sz="0" w:space="0" w:color="auto"/>
            <w:left w:val="none" w:sz="0" w:space="0" w:color="auto"/>
            <w:bottom w:val="none" w:sz="0" w:space="0" w:color="auto"/>
            <w:right w:val="none" w:sz="0" w:space="0" w:color="auto"/>
          </w:divBdr>
        </w:div>
        <w:div w:id="907878980">
          <w:marLeft w:val="0"/>
          <w:marRight w:val="0"/>
          <w:marTop w:val="0"/>
          <w:marBottom w:val="0"/>
          <w:divBdr>
            <w:top w:val="none" w:sz="0" w:space="0" w:color="auto"/>
            <w:left w:val="none" w:sz="0" w:space="0" w:color="auto"/>
            <w:bottom w:val="none" w:sz="0" w:space="0" w:color="auto"/>
            <w:right w:val="none" w:sz="0" w:space="0" w:color="auto"/>
          </w:divBdr>
        </w:div>
        <w:div w:id="403988445">
          <w:marLeft w:val="0"/>
          <w:marRight w:val="0"/>
          <w:marTop w:val="0"/>
          <w:marBottom w:val="0"/>
          <w:divBdr>
            <w:top w:val="none" w:sz="0" w:space="0" w:color="auto"/>
            <w:left w:val="none" w:sz="0" w:space="0" w:color="auto"/>
            <w:bottom w:val="none" w:sz="0" w:space="0" w:color="auto"/>
            <w:right w:val="none" w:sz="0" w:space="0" w:color="auto"/>
          </w:divBdr>
        </w:div>
        <w:div w:id="988437695">
          <w:marLeft w:val="0"/>
          <w:marRight w:val="0"/>
          <w:marTop w:val="0"/>
          <w:marBottom w:val="0"/>
          <w:divBdr>
            <w:top w:val="none" w:sz="0" w:space="0" w:color="auto"/>
            <w:left w:val="none" w:sz="0" w:space="0" w:color="auto"/>
            <w:bottom w:val="none" w:sz="0" w:space="0" w:color="auto"/>
            <w:right w:val="none" w:sz="0" w:space="0" w:color="auto"/>
          </w:divBdr>
        </w:div>
        <w:div w:id="963077248">
          <w:marLeft w:val="0"/>
          <w:marRight w:val="0"/>
          <w:marTop w:val="0"/>
          <w:marBottom w:val="0"/>
          <w:divBdr>
            <w:top w:val="none" w:sz="0" w:space="0" w:color="auto"/>
            <w:left w:val="none" w:sz="0" w:space="0" w:color="auto"/>
            <w:bottom w:val="none" w:sz="0" w:space="0" w:color="auto"/>
            <w:right w:val="none" w:sz="0" w:space="0" w:color="auto"/>
          </w:divBdr>
        </w:div>
        <w:div w:id="489057212">
          <w:marLeft w:val="0"/>
          <w:marRight w:val="0"/>
          <w:marTop w:val="0"/>
          <w:marBottom w:val="0"/>
          <w:divBdr>
            <w:top w:val="none" w:sz="0" w:space="0" w:color="auto"/>
            <w:left w:val="none" w:sz="0" w:space="0" w:color="auto"/>
            <w:bottom w:val="none" w:sz="0" w:space="0" w:color="auto"/>
            <w:right w:val="none" w:sz="0" w:space="0" w:color="auto"/>
          </w:divBdr>
        </w:div>
        <w:div w:id="582878490">
          <w:marLeft w:val="0"/>
          <w:marRight w:val="0"/>
          <w:marTop w:val="0"/>
          <w:marBottom w:val="0"/>
          <w:divBdr>
            <w:top w:val="none" w:sz="0" w:space="0" w:color="auto"/>
            <w:left w:val="none" w:sz="0" w:space="0" w:color="auto"/>
            <w:bottom w:val="none" w:sz="0" w:space="0" w:color="auto"/>
            <w:right w:val="none" w:sz="0" w:space="0" w:color="auto"/>
          </w:divBdr>
        </w:div>
        <w:div w:id="1316296346">
          <w:marLeft w:val="0"/>
          <w:marRight w:val="0"/>
          <w:marTop w:val="0"/>
          <w:marBottom w:val="0"/>
          <w:divBdr>
            <w:top w:val="none" w:sz="0" w:space="0" w:color="auto"/>
            <w:left w:val="none" w:sz="0" w:space="0" w:color="auto"/>
            <w:bottom w:val="none" w:sz="0" w:space="0" w:color="auto"/>
            <w:right w:val="none" w:sz="0" w:space="0" w:color="auto"/>
          </w:divBdr>
        </w:div>
        <w:div w:id="436602133">
          <w:marLeft w:val="0"/>
          <w:marRight w:val="0"/>
          <w:marTop w:val="0"/>
          <w:marBottom w:val="0"/>
          <w:divBdr>
            <w:top w:val="none" w:sz="0" w:space="0" w:color="auto"/>
            <w:left w:val="none" w:sz="0" w:space="0" w:color="auto"/>
            <w:bottom w:val="none" w:sz="0" w:space="0" w:color="auto"/>
            <w:right w:val="none" w:sz="0" w:space="0" w:color="auto"/>
          </w:divBdr>
        </w:div>
        <w:div w:id="1860971836">
          <w:marLeft w:val="0"/>
          <w:marRight w:val="0"/>
          <w:marTop w:val="0"/>
          <w:marBottom w:val="0"/>
          <w:divBdr>
            <w:top w:val="none" w:sz="0" w:space="0" w:color="auto"/>
            <w:left w:val="none" w:sz="0" w:space="0" w:color="auto"/>
            <w:bottom w:val="none" w:sz="0" w:space="0" w:color="auto"/>
            <w:right w:val="none" w:sz="0" w:space="0" w:color="auto"/>
          </w:divBdr>
        </w:div>
        <w:div w:id="921454846">
          <w:marLeft w:val="0"/>
          <w:marRight w:val="0"/>
          <w:marTop w:val="0"/>
          <w:marBottom w:val="0"/>
          <w:divBdr>
            <w:top w:val="none" w:sz="0" w:space="0" w:color="auto"/>
            <w:left w:val="none" w:sz="0" w:space="0" w:color="auto"/>
            <w:bottom w:val="none" w:sz="0" w:space="0" w:color="auto"/>
            <w:right w:val="none" w:sz="0" w:space="0" w:color="auto"/>
          </w:divBdr>
          <w:divsChild>
            <w:div w:id="1642685192">
              <w:marLeft w:val="0"/>
              <w:marRight w:val="0"/>
              <w:marTop w:val="0"/>
              <w:marBottom w:val="0"/>
              <w:divBdr>
                <w:top w:val="none" w:sz="0" w:space="0" w:color="auto"/>
                <w:left w:val="none" w:sz="0" w:space="0" w:color="auto"/>
                <w:bottom w:val="none" w:sz="0" w:space="0" w:color="auto"/>
                <w:right w:val="none" w:sz="0" w:space="0" w:color="auto"/>
              </w:divBdr>
            </w:div>
            <w:div w:id="1619490717">
              <w:marLeft w:val="0"/>
              <w:marRight w:val="0"/>
              <w:marTop w:val="0"/>
              <w:marBottom w:val="0"/>
              <w:divBdr>
                <w:top w:val="none" w:sz="0" w:space="0" w:color="auto"/>
                <w:left w:val="none" w:sz="0" w:space="0" w:color="auto"/>
                <w:bottom w:val="none" w:sz="0" w:space="0" w:color="auto"/>
                <w:right w:val="none" w:sz="0" w:space="0" w:color="auto"/>
              </w:divBdr>
            </w:div>
            <w:div w:id="2102296061">
              <w:marLeft w:val="0"/>
              <w:marRight w:val="0"/>
              <w:marTop w:val="0"/>
              <w:marBottom w:val="0"/>
              <w:divBdr>
                <w:top w:val="none" w:sz="0" w:space="0" w:color="auto"/>
                <w:left w:val="none" w:sz="0" w:space="0" w:color="auto"/>
                <w:bottom w:val="none" w:sz="0" w:space="0" w:color="auto"/>
                <w:right w:val="none" w:sz="0" w:space="0" w:color="auto"/>
              </w:divBdr>
            </w:div>
            <w:div w:id="923992658">
              <w:marLeft w:val="0"/>
              <w:marRight w:val="0"/>
              <w:marTop w:val="0"/>
              <w:marBottom w:val="0"/>
              <w:divBdr>
                <w:top w:val="none" w:sz="0" w:space="0" w:color="auto"/>
                <w:left w:val="none" w:sz="0" w:space="0" w:color="auto"/>
                <w:bottom w:val="none" w:sz="0" w:space="0" w:color="auto"/>
                <w:right w:val="none" w:sz="0" w:space="0" w:color="auto"/>
              </w:divBdr>
            </w:div>
            <w:div w:id="1876230692">
              <w:marLeft w:val="0"/>
              <w:marRight w:val="0"/>
              <w:marTop w:val="0"/>
              <w:marBottom w:val="0"/>
              <w:divBdr>
                <w:top w:val="none" w:sz="0" w:space="0" w:color="auto"/>
                <w:left w:val="none" w:sz="0" w:space="0" w:color="auto"/>
                <w:bottom w:val="none" w:sz="0" w:space="0" w:color="auto"/>
                <w:right w:val="none" w:sz="0" w:space="0" w:color="auto"/>
              </w:divBdr>
            </w:div>
          </w:divsChild>
        </w:div>
        <w:div w:id="1257640535">
          <w:marLeft w:val="0"/>
          <w:marRight w:val="0"/>
          <w:marTop w:val="0"/>
          <w:marBottom w:val="0"/>
          <w:divBdr>
            <w:top w:val="none" w:sz="0" w:space="0" w:color="auto"/>
            <w:left w:val="none" w:sz="0" w:space="0" w:color="auto"/>
            <w:bottom w:val="none" w:sz="0" w:space="0" w:color="auto"/>
            <w:right w:val="none" w:sz="0" w:space="0" w:color="auto"/>
          </w:divBdr>
          <w:divsChild>
            <w:div w:id="1509826939">
              <w:marLeft w:val="0"/>
              <w:marRight w:val="0"/>
              <w:marTop w:val="0"/>
              <w:marBottom w:val="0"/>
              <w:divBdr>
                <w:top w:val="none" w:sz="0" w:space="0" w:color="auto"/>
                <w:left w:val="none" w:sz="0" w:space="0" w:color="auto"/>
                <w:bottom w:val="none" w:sz="0" w:space="0" w:color="auto"/>
                <w:right w:val="none" w:sz="0" w:space="0" w:color="auto"/>
              </w:divBdr>
            </w:div>
            <w:div w:id="1890334625">
              <w:marLeft w:val="0"/>
              <w:marRight w:val="0"/>
              <w:marTop w:val="0"/>
              <w:marBottom w:val="0"/>
              <w:divBdr>
                <w:top w:val="none" w:sz="0" w:space="0" w:color="auto"/>
                <w:left w:val="none" w:sz="0" w:space="0" w:color="auto"/>
                <w:bottom w:val="none" w:sz="0" w:space="0" w:color="auto"/>
                <w:right w:val="none" w:sz="0" w:space="0" w:color="auto"/>
              </w:divBdr>
            </w:div>
            <w:div w:id="1758283235">
              <w:marLeft w:val="0"/>
              <w:marRight w:val="0"/>
              <w:marTop w:val="0"/>
              <w:marBottom w:val="0"/>
              <w:divBdr>
                <w:top w:val="none" w:sz="0" w:space="0" w:color="auto"/>
                <w:left w:val="none" w:sz="0" w:space="0" w:color="auto"/>
                <w:bottom w:val="none" w:sz="0" w:space="0" w:color="auto"/>
                <w:right w:val="none" w:sz="0" w:space="0" w:color="auto"/>
              </w:divBdr>
            </w:div>
            <w:div w:id="213274108">
              <w:marLeft w:val="0"/>
              <w:marRight w:val="0"/>
              <w:marTop w:val="0"/>
              <w:marBottom w:val="0"/>
              <w:divBdr>
                <w:top w:val="none" w:sz="0" w:space="0" w:color="auto"/>
                <w:left w:val="none" w:sz="0" w:space="0" w:color="auto"/>
                <w:bottom w:val="none" w:sz="0" w:space="0" w:color="auto"/>
                <w:right w:val="none" w:sz="0" w:space="0" w:color="auto"/>
              </w:divBdr>
            </w:div>
            <w:div w:id="1360354683">
              <w:marLeft w:val="0"/>
              <w:marRight w:val="0"/>
              <w:marTop w:val="0"/>
              <w:marBottom w:val="0"/>
              <w:divBdr>
                <w:top w:val="none" w:sz="0" w:space="0" w:color="auto"/>
                <w:left w:val="none" w:sz="0" w:space="0" w:color="auto"/>
                <w:bottom w:val="none" w:sz="0" w:space="0" w:color="auto"/>
                <w:right w:val="none" w:sz="0" w:space="0" w:color="auto"/>
              </w:divBdr>
            </w:div>
          </w:divsChild>
        </w:div>
        <w:div w:id="752238502">
          <w:marLeft w:val="0"/>
          <w:marRight w:val="0"/>
          <w:marTop w:val="0"/>
          <w:marBottom w:val="0"/>
          <w:divBdr>
            <w:top w:val="none" w:sz="0" w:space="0" w:color="auto"/>
            <w:left w:val="none" w:sz="0" w:space="0" w:color="auto"/>
            <w:bottom w:val="none" w:sz="0" w:space="0" w:color="auto"/>
            <w:right w:val="none" w:sz="0" w:space="0" w:color="auto"/>
          </w:divBdr>
        </w:div>
        <w:div w:id="1437171119">
          <w:marLeft w:val="0"/>
          <w:marRight w:val="0"/>
          <w:marTop w:val="0"/>
          <w:marBottom w:val="0"/>
          <w:divBdr>
            <w:top w:val="none" w:sz="0" w:space="0" w:color="auto"/>
            <w:left w:val="none" w:sz="0" w:space="0" w:color="auto"/>
            <w:bottom w:val="none" w:sz="0" w:space="0" w:color="auto"/>
            <w:right w:val="none" w:sz="0" w:space="0" w:color="auto"/>
          </w:divBdr>
        </w:div>
        <w:div w:id="1177428574">
          <w:marLeft w:val="0"/>
          <w:marRight w:val="0"/>
          <w:marTop w:val="0"/>
          <w:marBottom w:val="0"/>
          <w:divBdr>
            <w:top w:val="none" w:sz="0" w:space="0" w:color="auto"/>
            <w:left w:val="none" w:sz="0" w:space="0" w:color="auto"/>
            <w:bottom w:val="none" w:sz="0" w:space="0" w:color="auto"/>
            <w:right w:val="none" w:sz="0" w:space="0" w:color="auto"/>
          </w:divBdr>
        </w:div>
        <w:div w:id="2136678667">
          <w:marLeft w:val="0"/>
          <w:marRight w:val="0"/>
          <w:marTop w:val="0"/>
          <w:marBottom w:val="0"/>
          <w:divBdr>
            <w:top w:val="none" w:sz="0" w:space="0" w:color="auto"/>
            <w:left w:val="none" w:sz="0" w:space="0" w:color="auto"/>
            <w:bottom w:val="none" w:sz="0" w:space="0" w:color="auto"/>
            <w:right w:val="none" w:sz="0" w:space="0" w:color="auto"/>
          </w:divBdr>
        </w:div>
        <w:div w:id="1091899877">
          <w:marLeft w:val="0"/>
          <w:marRight w:val="0"/>
          <w:marTop w:val="0"/>
          <w:marBottom w:val="0"/>
          <w:divBdr>
            <w:top w:val="none" w:sz="0" w:space="0" w:color="auto"/>
            <w:left w:val="none" w:sz="0" w:space="0" w:color="auto"/>
            <w:bottom w:val="none" w:sz="0" w:space="0" w:color="auto"/>
            <w:right w:val="none" w:sz="0" w:space="0" w:color="auto"/>
          </w:divBdr>
        </w:div>
        <w:div w:id="368994630">
          <w:marLeft w:val="0"/>
          <w:marRight w:val="0"/>
          <w:marTop w:val="0"/>
          <w:marBottom w:val="0"/>
          <w:divBdr>
            <w:top w:val="none" w:sz="0" w:space="0" w:color="auto"/>
            <w:left w:val="none" w:sz="0" w:space="0" w:color="auto"/>
            <w:bottom w:val="none" w:sz="0" w:space="0" w:color="auto"/>
            <w:right w:val="none" w:sz="0" w:space="0" w:color="auto"/>
          </w:divBdr>
        </w:div>
        <w:div w:id="927539223">
          <w:marLeft w:val="0"/>
          <w:marRight w:val="0"/>
          <w:marTop w:val="0"/>
          <w:marBottom w:val="0"/>
          <w:divBdr>
            <w:top w:val="none" w:sz="0" w:space="0" w:color="auto"/>
            <w:left w:val="none" w:sz="0" w:space="0" w:color="auto"/>
            <w:bottom w:val="none" w:sz="0" w:space="0" w:color="auto"/>
            <w:right w:val="none" w:sz="0" w:space="0" w:color="auto"/>
          </w:divBdr>
        </w:div>
        <w:div w:id="853962491">
          <w:marLeft w:val="0"/>
          <w:marRight w:val="0"/>
          <w:marTop w:val="0"/>
          <w:marBottom w:val="0"/>
          <w:divBdr>
            <w:top w:val="none" w:sz="0" w:space="0" w:color="auto"/>
            <w:left w:val="none" w:sz="0" w:space="0" w:color="auto"/>
            <w:bottom w:val="none" w:sz="0" w:space="0" w:color="auto"/>
            <w:right w:val="none" w:sz="0" w:space="0" w:color="auto"/>
          </w:divBdr>
        </w:div>
        <w:div w:id="1159881220">
          <w:marLeft w:val="0"/>
          <w:marRight w:val="0"/>
          <w:marTop w:val="0"/>
          <w:marBottom w:val="0"/>
          <w:divBdr>
            <w:top w:val="none" w:sz="0" w:space="0" w:color="auto"/>
            <w:left w:val="none" w:sz="0" w:space="0" w:color="auto"/>
            <w:bottom w:val="none" w:sz="0" w:space="0" w:color="auto"/>
            <w:right w:val="none" w:sz="0" w:space="0" w:color="auto"/>
          </w:divBdr>
        </w:div>
        <w:div w:id="1475492334">
          <w:marLeft w:val="0"/>
          <w:marRight w:val="0"/>
          <w:marTop w:val="0"/>
          <w:marBottom w:val="0"/>
          <w:divBdr>
            <w:top w:val="none" w:sz="0" w:space="0" w:color="auto"/>
            <w:left w:val="none" w:sz="0" w:space="0" w:color="auto"/>
            <w:bottom w:val="none" w:sz="0" w:space="0" w:color="auto"/>
            <w:right w:val="none" w:sz="0" w:space="0" w:color="auto"/>
          </w:divBdr>
        </w:div>
        <w:div w:id="1977684737">
          <w:marLeft w:val="0"/>
          <w:marRight w:val="0"/>
          <w:marTop w:val="0"/>
          <w:marBottom w:val="0"/>
          <w:divBdr>
            <w:top w:val="none" w:sz="0" w:space="0" w:color="auto"/>
            <w:left w:val="none" w:sz="0" w:space="0" w:color="auto"/>
            <w:bottom w:val="none" w:sz="0" w:space="0" w:color="auto"/>
            <w:right w:val="none" w:sz="0" w:space="0" w:color="auto"/>
          </w:divBdr>
        </w:div>
        <w:div w:id="307515804">
          <w:marLeft w:val="0"/>
          <w:marRight w:val="0"/>
          <w:marTop w:val="0"/>
          <w:marBottom w:val="0"/>
          <w:divBdr>
            <w:top w:val="none" w:sz="0" w:space="0" w:color="auto"/>
            <w:left w:val="none" w:sz="0" w:space="0" w:color="auto"/>
            <w:bottom w:val="none" w:sz="0" w:space="0" w:color="auto"/>
            <w:right w:val="none" w:sz="0" w:space="0" w:color="auto"/>
          </w:divBdr>
        </w:div>
        <w:div w:id="1530799756">
          <w:marLeft w:val="0"/>
          <w:marRight w:val="0"/>
          <w:marTop w:val="0"/>
          <w:marBottom w:val="0"/>
          <w:divBdr>
            <w:top w:val="none" w:sz="0" w:space="0" w:color="auto"/>
            <w:left w:val="none" w:sz="0" w:space="0" w:color="auto"/>
            <w:bottom w:val="none" w:sz="0" w:space="0" w:color="auto"/>
            <w:right w:val="none" w:sz="0" w:space="0" w:color="auto"/>
          </w:divBdr>
        </w:div>
        <w:div w:id="1530989784">
          <w:marLeft w:val="0"/>
          <w:marRight w:val="0"/>
          <w:marTop w:val="0"/>
          <w:marBottom w:val="0"/>
          <w:divBdr>
            <w:top w:val="none" w:sz="0" w:space="0" w:color="auto"/>
            <w:left w:val="none" w:sz="0" w:space="0" w:color="auto"/>
            <w:bottom w:val="none" w:sz="0" w:space="0" w:color="auto"/>
            <w:right w:val="none" w:sz="0" w:space="0" w:color="auto"/>
          </w:divBdr>
        </w:div>
        <w:div w:id="1110274922">
          <w:marLeft w:val="0"/>
          <w:marRight w:val="0"/>
          <w:marTop w:val="0"/>
          <w:marBottom w:val="0"/>
          <w:divBdr>
            <w:top w:val="none" w:sz="0" w:space="0" w:color="auto"/>
            <w:left w:val="none" w:sz="0" w:space="0" w:color="auto"/>
            <w:bottom w:val="none" w:sz="0" w:space="0" w:color="auto"/>
            <w:right w:val="none" w:sz="0" w:space="0" w:color="auto"/>
          </w:divBdr>
        </w:div>
        <w:div w:id="961303998">
          <w:marLeft w:val="0"/>
          <w:marRight w:val="0"/>
          <w:marTop w:val="0"/>
          <w:marBottom w:val="0"/>
          <w:divBdr>
            <w:top w:val="none" w:sz="0" w:space="0" w:color="auto"/>
            <w:left w:val="none" w:sz="0" w:space="0" w:color="auto"/>
            <w:bottom w:val="none" w:sz="0" w:space="0" w:color="auto"/>
            <w:right w:val="none" w:sz="0" w:space="0" w:color="auto"/>
          </w:divBdr>
          <w:divsChild>
            <w:div w:id="716054939">
              <w:marLeft w:val="0"/>
              <w:marRight w:val="0"/>
              <w:marTop w:val="0"/>
              <w:marBottom w:val="0"/>
              <w:divBdr>
                <w:top w:val="none" w:sz="0" w:space="0" w:color="auto"/>
                <w:left w:val="none" w:sz="0" w:space="0" w:color="auto"/>
                <w:bottom w:val="none" w:sz="0" w:space="0" w:color="auto"/>
                <w:right w:val="none" w:sz="0" w:space="0" w:color="auto"/>
              </w:divBdr>
            </w:div>
            <w:div w:id="911701622">
              <w:marLeft w:val="0"/>
              <w:marRight w:val="0"/>
              <w:marTop w:val="0"/>
              <w:marBottom w:val="0"/>
              <w:divBdr>
                <w:top w:val="none" w:sz="0" w:space="0" w:color="auto"/>
                <w:left w:val="none" w:sz="0" w:space="0" w:color="auto"/>
                <w:bottom w:val="none" w:sz="0" w:space="0" w:color="auto"/>
                <w:right w:val="none" w:sz="0" w:space="0" w:color="auto"/>
              </w:divBdr>
            </w:div>
            <w:div w:id="1133986208">
              <w:marLeft w:val="0"/>
              <w:marRight w:val="0"/>
              <w:marTop w:val="0"/>
              <w:marBottom w:val="0"/>
              <w:divBdr>
                <w:top w:val="none" w:sz="0" w:space="0" w:color="auto"/>
                <w:left w:val="none" w:sz="0" w:space="0" w:color="auto"/>
                <w:bottom w:val="none" w:sz="0" w:space="0" w:color="auto"/>
                <w:right w:val="none" w:sz="0" w:space="0" w:color="auto"/>
              </w:divBdr>
            </w:div>
          </w:divsChild>
        </w:div>
        <w:div w:id="2045867016">
          <w:marLeft w:val="0"/>
          <w:marRight w:val="0"/>
          <w:marTop w:val="0"/>
          <w:marBottom w:val="0"/>
          <w:divBdr>
            <w:top w:val="none" w:sz="0" w:space="0" w:color="auto"/>
            <w:left w:val="none" w:sz="0" w:space="0" w:color="auto"/>
            <w:bottom w:val="none" w:sz="0" w:space="0" w:color="auto"/>
            <w:right w:val="none" w:sz="0" w:space="0" w:color="auto"/>
          </w:divBdr>
          <w:divsChild>
            <w:div w:id="1780755005">
              <w:marLeft w:val="0"/>
              <w:marRight w:val="0"/>
              <w:marTop w:val="0"/>
              <w:marBottom w:val="0"/>
              <w:divBdr>
                <w:top w:val="none" w:sz="0" w:space="0" w:color="auto"/>
                <w:left w:val="none" w:sz="0" w:space="0" w:color="auto"/>
                <w:bottom w:val="none" w:sz="0" w:space="0" w:color="auto"/>
                <w:right w:val="none" w:sz="0" w:space="0" w:color="auto"/>
              </w:divBdr>
            </w:div>
            <w:div w:id="2003121051">
              <w:marLeft w:val="0"/>
              <w:marRight w:val="0"/>
              <w:marTop w:val="0"/>
              <w:marBottom w:val="0"/>
              <w:divBdr>
                <w:top w:val="none" w:sz="0" w:space="0" w:color="auto"/>
                <w:left w:val="none" w:sz="0" w:space="0" w:color="auto"/>
                <w:bottom w:val="none" w:sz="0" w:space="0" w:color="auto"/>
                <w:right w:val="none" w:sz="0" w:space="0" w:color="auto"/>
              </w:divBdr>
            </w:div>
            <w:div w:id="815150550">
              <w:marLeft w:val="0"/>
              <w:marRight w:val="0"/>
              <w:marTop w:val="0"/>
              <w:marBottom w:val="0"/>
              <w:divBdr>
                <w:top w:val="none" w:sz="0" w:space="0" w:color="auto"/>
                <w:left w:val="none" w:sz="0" w:space="0" w:color="auto"/>
                <w:bottom w:val="none" w:sz="0" w:space="0" w:color="auto"/>
                <w:right w:val="none" w:sz="0" w:space="0" w:color="auto"/>
              </w:divBdr>
            </w:div>
          </w:divsChild>
        </w:div>
        <w:div w:id="69272801">
          <w:marLeft w:val="0"/>
          <w:marRight w:val="0"/>
          <w:marTop w:val="0"/>
          <w:marBottom w:val="0"/>
          <w:divBdr>
            <w:top w:val="none" w:sz="0" w:space="0" w:color="auto"/>
            <w:left w:val="none" w:sz="0" w:space="0" w:color="auto"/>
            <w:bottom w:val="none" w:sz="0" w:space="0" w:color="auto"/>
            <w:right w:val="none" w:sz="0" w:space="0" w:color="auto"/>
          </w:divBdr>
        </w:div>
        <w:div w:id="936787979">
          <w:marLeft w:val="0"/>
          <w:marRight w:val="0"/>
          <w:marTop w:val="0"/>
          <w:marBottom w:val="0"/>
          <w:divBdr>
            <w:top w:val="none" w:sz="0" w:space="0" w:color="auto"/>
            <w:left w:val="none" w:sz="0" w:space="0" w:color="auto"/>
            <w:bottom w:val="none" w:sz="0" w:space="0" w:color="auto"/>
            <w:right w:val="none" w:sz="0" w:space="0" w:color="auto"/>
          </w:divBdr>
        </w:div>
        <w:div w:id="182868144">
          <w:marLeft w:val="0"/>
          <w:marRight w:val="0"/>
          <w:marTop w:val="0"/>
          <w:marBottom w:val="0"/>
          <w:divBdr>
            <w:top w:val="none" w:sz="0" w:space="0" w:color="auto"/>
            <w:left w:val="none" w:sz="0" w:space="0" w:color="auto"/>
            <w:bottom w:val="none" w:sz="0" w:space="0" w:color="auto"/>
            <w:right w:val="none" w:sz="0" w:space="0" w:color="auto"/>
          </w:divBdr>
        </w:div>
        <w:div w:id="41905253">
          <w:marLeft w:val="0"/>
          <w:marRight w:val="0"/>
          <w:marTop w:val="0"/>
          <w:marBottom w:val="0"/>
          <w:divBdr>
            <w:top w:val="none" w:sz="0" w:space="0" w:color="auto"/>
            <w:left w:val="none" w:sz="0" w:space="0" w:color="auto"/>
            <w:bottom w:val="none" w:sz="0" w:space="0" w:color="auto"/>
            <w:right w:val="none" w:sz="0" w:space="0" w:color="auto"/>
          </w:divBdr>
        </w:div>
        <w:div w:id="1950310560">
          <w:marLeft w:val="0"/>
          <w:marRight w:val="0"/>
          <w:marTop w:val="0"/>
          <w:marBottom w:val="0"/>
          <w:divBdr>
            <w:top w:val="none" w:sz="0" w:space="0" w:color="auto"/>
            <w:left w:val="none" w:sz="0" w:space="0" w:color="auto"/>
            <w:bottom w:val="none" w:sz="0" w:space="0" w:color="auto"/>
            <w:right w:val="none" w:sz="0" w:space="0" w:color="auto"/>
          </w:divBdr>
          <w:divsChild>
            <w:div w:id="2050254054">
              <w:marLeft w:val="-75"/>
              <w:marRight w:val="0"/>
              <w:marTop w:val="30"/>
              <w:marBottom w:val="30"/>
              <w:divBdr>
                <w:top w:val="none" w:sz="0" w:space="0" w:color="auto"/>
                <w:left w:val="none" w:sz="0" w:space="0" w:color="auto"/>
                <w:bottom w:val="none" w:sz="0" w:space="0" w:color="auto"/>
                <w:right w:val="none" w:sz="0" w:space="0" w:color="auto"/>
              </w:divBdr>
              <w:divsChild>
                <w:div w:id="1768037636">
                  <w:marLeft w:val="0"/>
                  <w:marRight w:val="0"/>
                  <w:marTop w:val="0"/>
                  <w:marBottom w:val="0"/>
                  <w:divBdr>
                    <w:top w:val="none" w:sz="0" w:space="0" w:color="auto"/>
                    <w:left w:val="none" w:sz="0" w:space="0" w:color="auto"/>
                    <w:bottom w:val="none" w:sz="0" w:space="0" w:color="auto"/>
                    <w:right w:val="none" w:sz="0" w:space="0" w:color="auto"/>
                  </w:divBdr>
                  <w:divsChild>
                    <w:div w:id="1947350870">
                      <w:marLeft w:val="0"/>
                      <w:marRight w:val="0"/>
                      <w:marTop w:val="0"/>
                      <w:marBottom w:val="0"/>
                      <w:divBdr>
                        <w:top w:val="none" w:sz="0" w:space="0" w:color="auto"/>
                        <w:left w:val="none" w:sz="0" w:space="0" w:color="auto"/>
                        <w:bottom w:val="none" w:sz="0" w:space="0" w:color="auto"/>
                        <w:right w:val="none" w:sz="0" w:space="0" w:color="auto"/>
                      </w:divBdr>
                    </w:div>
                  </w:divsChild>
                </w:div>
                <w:div w:id="843668313">
                  <w:marLeft w:val="0"/>
                  <w:marRight w:val="0"/>
                  <w:marTop w:val="0"/>
                  <w:marBottom w:val="0"/>
                  <w:divBdr>
                    <w:top w:val="none" w:sz="0" w:space="0" w:color="auto"/>
                    <w:left w:val="none" w:sz="0" w:space="0" w:color="auto"/>
                    <w:bottom w:val="none" w:sz="0" w:space="0" w:color="auto"/>
                    <w:right w:val="none" w:sz="0" w:space="0" w:color="auto"/>
                  </w:divBdr>
                  <w:divsChild>
                    <w:div w:id="742800376">
                      <w:marLeft w:val="0"/>
                      <w:marRight w:val="0"/>
                      <w:marTop w:val="0"/>
                      <w:marBottom w:val="0"/>
                      <w:divBdr>
                        <w:top w:val="none" w:sz="0" w:space="0" w:color="auto"/>
                        <w:left w:val="none" w:sz="0" w:space="0" w:color="auto"/>
                        <w:bottom w:val="none" w:sz="0" w:space="0" w:color="auto"/>
                        <w:right w:val="none" w:sz="0" w:space="0" w:color="auto"/>
                      </w:divBdr>
                    </w:div>
                  </w:divsChild>
                </w:div>
                <w:div w:id="1369724842">
                  <w:marLeft w:val="0"/>
                  <w:marRight w:val="0"/>
                  <w:marTop w:val="0"/>
                  <w:marBottom w:val="0"/>
                  <w:divBdr>
                    <w:top w:val="none" w:sz="0" w:space="0" w:color="auto"/>
                    <w:left w:val="none" w:sz="0" w:space="0" w:color="auto"/>
                    <w:bottom w:val="none" w:sz="0" w:space="0" w:color="auto"/>
                    <w:right w:val="none" w:sz="0" w:space="0" w:color="auto"/>
                  </w:divBdr>
                  <w:divsChild>
                    <w:div w:id="199628189">
                      <w:marLeft w:val="0"/>
                      <w:marRight w:val="0"/>
                      <w:marTop w:val="0"/>
                      <w:marBottom w:val="0"/>
                      <w:divBdr>
                        <w:top w:val="none" w:sz="0" w:space="0" w:color="auto"/>
                        <w:left w:val="none" w:sz="0" w:space="0" w:color="auto"/>
                        <w:bottom w:val="none" w:sz="0" w:space="0" w:color="auto"/>
                        <w:right w:val="none" w:sz="0" w:space="0" w:color="auto"/>
                      </w:divBdr>
                    </w:div>
                    <w:div w:id="683829104">
                      <w:marLeft w:val="0"/>
                      <w:marRight w:val="0"/>
                      <w:marTop w:val="0"/>
                      <w:marBottom w:val="0"/>
                      <w:divBdr>
                        <w:top w:val="none" w:sz="0" w:space="0" w:color="auto"/>
                        <w:left w:val="none" w:sz="0" w:space="0" w:color="auto"/>
                        <w:bottom w:val="none" w:sz="0" w:space="0" w:color="auto"/>
                        <w:right w:val="none" w:sz="0" w:space="0" w:color="auto"/>
                      </w:divBdr>
                    </w:div>
                  </w:divsChild>
                </w:div>
                <w:div w:id="1674838859">
                  <w:marLeft w:val="0"/>
                  <w:marRight w:val="0"/>
                  <w:marTop w:val="0"/>
                  <w:marBottom w:val="0"/>
                  <w:divBdr>
                    <w:top w:val="none" w:sz="0" w:space="0" w:color="auto"/>
                    <w:left w:val="none" w:sz="0" w:space="0" w:color="auto"/>
                    <w:bottom w:val="none" w:sz="0" w:space="0" w:color="auto"/>
                    <w:right w:val="none" w:sz="0" w:space="0" w:color="auto"/>
                  </w:divBdr>
                  <w:divsChild>
                    <w:div w:id="639462363">
                      <w:marLeft w:val="0"/>
                      <w:marRight w:val="0"/>
                      <w:marTop w:val="0"/>
                      <w:marBottom w:val="0"/>
                      <w:divBdr>
                        <w:top w:val="none" w:sz="0" w:space="0" w:color="auto"/>
                        <w:left w:val="none" w:sz="0" w:space="0" w:color="auto"/>
                        <w:bottom w:val="none" w:sz="0" w:space="0" w:color="auto"/>
                        <w:right w:val="none" w:sz="0" w:space="0" w:color="auto"/>
                      </w:divBdr>
                    </w:div>
                  </w:divsChild>
                </w:div>
                <w:div w:id="1139422997">
                  <w:marLeft w:val="0"/>
                  <w:marRight w:val="0"/>
                  <w:marTop w:val="0"/>
                  <w:marBottom w:val="0"/>
                  <w:divBdr>
                    <w:top w:val="none" w:sz="0" w:space="0" w:color="auto"/>
                    <w:left w:val="none" w:sz="0" w:space="0" w:color="auto"/>
                    <w:bottom w:val="none" w:sz="0" w:space="0" w:color="auto"/>
                    <w:right w:val="none" w:sz="0" w:space="0" w:color="auto"/>
                  </w:divBdr>
                  <w:divsChild>
                    <w:div w:id="1848247921">
                      <w:marLeft w:val="0"/>
                      <w:marRight w:val="0"/>
                      <w:marTop w:val="0"/>
                      <w:marBottom w:val="0"/>
                      <w:divBdr>
                        <w:top w:val="none" w:sz="0" w:space="0" w:color="auto"/>
                        <w:left w:val="none" w:sz="0" w:space="0" w:color="auto"/>
                        <w:bottom w:val="none" w:sz="0" w:space="0" w:color="auto"/>
                        <w:right w:val="none" w:sz="0" w:space="0" w:color="auto"/>
                      </w:divBdr>
                    </w:div>
                    <w:div w:id="1380011283">
                      <w:marLeft w:val="0"/>
                      <w:marRight w:val="0"/>
                      <w:marTop w:val="0"/>
                      <w:marBottom w:val="0"/>
                      <w:divBdr>
                        <w:top w:val="none" w:sz="0" w:space="0" w:color="auto"/>
                        <w:left w:val="none" w:sz="0" w:space="0" w:color="auto"/>
                        <w:bottom w:val="none" w:sz="0" w:space="0" w:color="auto"/>
                        <w:right w:val="none" w:sz="0" w:space="0" w:color="auto"/>
                      </w:divBdr>
                    </w:div>
                    <w:div w:id="1554921187">
                      <w:marLeft w:val="0"/>
                      <w:marRight w:val="0"/>
                      <w:marTop w:val="0"/>
                      <w:marBottom w:val="0"/>
                      <w:divBdr>
                        <w:top w:val="none" w:sz="0" w:space="0" w:color="auto"/>
                        <w:left w:val="none" w:sz="0" w:space="0" w:color="auto"/>
                        <w:bottom w:val="none" w:sz="0" w:space="0" w:color="auto"/>
                        <w:right w:val="none" w:sz="0" w:space="0" w:color="auto"/>
                      </w:divBdr>
                    </w:div>
                  </w:divsChild>
                </w:div>
                <w:div w:id="786777960">
                  <w:marLeft w:val="0"/>
                  <w:marRight w:val="0"/>
                  <w:marTop w:val="0"/>
                  <w:marBottom w:val="0"/>
                  <w:divBdr>
                    <w:top w:val="none" w:sz="0" w:space="0" w:color="auto"/>
                    <w:left w:val="none" w:sz="0" w:space="0" w:color="auto"/>
                    <w:bottom w:val="none" w:sz="0" w:space="0" w:color="auto"/>
                    <w:right w:val="none" w:sz="0" w:space="0" w:color="auto"/>
                  </w:divBdr>
                  <w:divsChild>
                    <w:div w:id="1221286065">
                      <w:marLeft w:val="0"/>
                      <w:marRight w:val="0"/>
                      <w:marTop w:val="0"/>
                      <w:marBottom w:val="0"/>
                      <w:divBdr>
                        <w:top w:val="none" w:sz="0" w:space="0" w:color="auto"/>
                        <w:left w:val="none" w:sz="0" w:space="0" w:color="auto"/>
                        <w:bottom w:val="none" w:sz="0" w:space="0" w:color="auto"/>
                        <w:right w:val="none" w:sz="0" w:space="0" w:color="auto"/>
                      </w:divBdr>
                    </w:div>
                  </w:divsChild>
                </w:div>
                <w:div w:id="202328655">
                  <w:marLeft w:val="0"/>
                  <w:marRight w:val="0"/>
                  <w:marTop w:val="0"/>
                  <w:marBottom w:val="0"/>
                  <w:divBdr>
                    <w:top w:val="none" w:sz="0" w:space="0" w:color="auto"/>
                    <w:left w:val="none" w:sz="0" w:space="0" w:color="auto"/>
                    <w:bottom w:val="none" w:sz="0" w:space="0" w:color="auto"/>
                    <w:right w:val="none" w:sz="0" w:space="0" w:color="auto"/>
                  </w:divBdr>
                  <w:divsChild>
                    <w:div w:id="685987609">
                      <w:marLeft w:val="0"/>
                      <w:marRight w:val="0"/>
                      <w:marTop w:val="0"/>
                      <w:marBottom w:val="0"/>
                      <w:divBdr>
                        <w:top w:val="none" w:sz="0" w:space="0" w:color="auto"/>
                        <w:left w:val="none" w:sz="0" w:space="0" w:color="auto"/>
                        <w:bottom w:val="none" w:sz="0" w:space="0" w:color="auto"/>
                        <w:right w:val="none" w:sz="0" w:space="0" w:color="auto"/>
                      </w:divBdr>
                    </w:div>
                    <w:div w:id="1522625610">
                      <w:marLeft w:val="0"/>
                      <w:marRight w:val="0"/>
                      <w:marTop w:val="0"/>
                      <w:marBottom w:val="0"/>
                      <w:divBdr>
                        <w:top w:val="none" w:sz="0" w:space="0" w:color="auto"/>
                        <w:left w:val="none" w:sz="0" w:space="0" w:color="auto"/>
                        <w:bottom w:val="none" w:sz="0" w:space="0" w:color="auto"/>
                        <w:right w:val="none" w:sz="0" w:space="0" w:color="auto"/>
                      </w:divBdr>
                    </w:div>
                    <w:div w:id="37239646">
                      <w:marLeft w:val="0"/>
                      <w:marRight w:val="0"/>
                      <w:marTop w:val="0"/>
                      <w:marBottom w:val="0"/>
                      <w:divBdr>
                        <w:top w:val="none" w:sz="0" w:space="0" w:color="auto"/>
                        <w:left w:val="none" w:sz="0" w:space="0" w:color="auto"/>
                        <w:bottom w:val="none" w:sz="0" w:space="0" w:color="auto"/>
                        <w:right w:val="none" w:sz="0" w:space="0" w:color="auto"/>
                      </w:divBdr>
                    </w:div>
                  </w:divsChild>
                </w:div>
                <w:div w:id="1160921759">
                  <w:marLeft w:val="0"/>
                  <w:marRight w:val="0"/>
                  <w:marTop w:val="0"/>
                  <w:marBottom w:val="0"/>
                  <w:divBdr>
                    <w:top w:val="none" w:sz="0" w:space="0" w:color="auto"/>
                    <w:left w:val="none" w:sz="0" w:space="0" w:color="auto"/>
                    <w:bottom w:val="none" w:sz="0" w:space="0" w:color="auto"/>
                    <w:right w:val="none" w:sz="0" w:space="0" w:color="auto"/>
                  </w:divBdr>
                  <w:divsChild>
                    <w:div w:id="1272056284">
                      <w:marLeft w:val="0"/>
                      <w:marRight w:val="0"/>
                      <w:marTop w:val="0"/>
                      <w:marBottom w:val="0"/>
                      <w:divBdr>
                        <w:top w:val="none" w:sz="0" w:space="0" w:color="auto"/>
                        <w:left w:val="none" w:sz="0" w:space="0" w:color="auto"/>
                        <w:bottom w:val="none" w:sz="0" w:space="0" w:color="auto"/>
                        <w:right w:val="none" w:sz="0" w:space="0" w:color="auto"/>
                      </w:divBdr>
                    </w:div>
                  </w:divsChild>
                </w:div>
                <w:div w:id="2019500486">
                  <w:marLeft w:val="0"/>
                  <w:marRight w:val="0"/>
                  <w:marTop w:val="0"/>
                  <w:marBottom w:val="0"/>
                  <w:divBdr>
                    <w:top w:val="none" w:sz="0" w:space="0" w:color="auto"/>
                    <w:left w:val="none" w:sz="0" w:space="0" w:color="auto"/>
                    <w:bottom w:val="none" w:sz="0" w:space="0" w:color="auto"/>
                    <w:right w:val="none" w:sz="0" w:space="0" w:color="auto"/>
                  </w:divBdr>
                  <w:divsChild>
                    <w:div w:id="486216425">
                      <w:marLeft w:val="0"/>
                      <w:marRight w:val="0"/>
                      <w:marTop w:val="0"/>
                      <w:marBottom w:val="0"/>
                      <w:divBdr>
                        <w:top w:val="none" w:sz="0" w:space="0" w:color="auto"/>
                        <w:left w:val="none" w:sz="0" w:space="0" w:color="auto"/>
                        <w:bottom w:val="none" w:sz="0" w:space="0" w:color="auto"/>
                        <w:right w:val="none" w:sz="0" w:space="0" w:color="auto"/>
                      </w:divBdr>
                    </w:div>
                    <w:div w:id="2028168793">
                      <w:marLeft w:val="0"/>
                      <w:marRight w:val="0"/>
                      <w:marTop w:val="0"/>
                      <w:marBottom w:val="0"/>
                      <w:divBdr>
                        <w:top w:val="none" w:sz="0" w:space="0" w:color="auto"/>
                        <w:left w:val="none" w:sz="0" w:space="0" w:color="auto"/>
                        <w:bottom w:val="none" w:sz="0" w:space="0" w:color="auto"/>
                        <w:right w:val="none" w:sz="0" w:space="0" w:color="auto"/>
                      </w:divBdr>
                    </w:div>
                    <w:div w:id="451363984">
                      <w:marLeft w:val="0"/>
                      <w:marRight w:val="0"/>
                      <w:marTop w:val="0"/>
                      <w:marBottom w:val="0"/>
                      <w:divBdr>
                        <w:top w:val="none" w:sz="0" w:space="0" w:color="auto"/>
                        <w:left w:val="none" w:sz="0" w:space="0" w:color="auto"/>
                        <w:bottom w:val="none" w:sz="0" w:space="0" w:color="auto"/>
                        <w:right w:val="none" w:sz="0" w:space="0" w:color="auto"/>
                      </w:divBdr>
                    </w:div>
                    <w:div w:id="353385968">
                      <w:marLeft w:val="0"/>
                      <w:marRight w:val="0"/>
                      <w:marTop w:val="0"/>
                      <w:marBottom w:val="0"/>
                      <w:divBdr>
                        <w:top w:val="none" w:sz="0" w:space="0" w:color="auto"/>
                        <w:left w:val="none" w:sz="0" w:space="0" w:color="auto"/>
                        <w:bottom w:val="none" w:sz="0" w:space="0" w:color="auto"/>
                        <w:right w:val="none" w:sz="0" w:space="0" w:color="auto"/>
                      </w:divBdr>
                    </w:div>
                    <w:div w:id="1289774052">
                      <w:marLeft w:val="0"/>
                      <w:marRight w:val="0"/>
                      <w:marTop w:val="0"/>
                      <w:marBottom w:val="0"/>
                      <w:divBdr>
                        <w:top w:val="none" w:sz="0" w:space="0" w:color="auto"/>
                        <w:left w:val="none" w:sz="0" w:space="0" w:color="auto"/>
                        <w:bottom w:val="none" w:sz="0" w:space="0" w:color="auto"/>
                        <w:right w:val="none" w:sz="0" w:space="0" w:color="auto"/>
                      </w:divBdr>
                    </w:div>
                    <w:div w:id="1187598612">
                      <w:marLeft w:val="0"/>
                      <w:marRight w:val="0"/>
                      <w:marTop w:val="0"/>
                      <w:marBottom w:val="0"/>
                      <w:divBdr>
                        <w:top w:val="none" w:sz="0" w:space="0" w:color="auto"/>
                        <w:left w:val="none" w:sz="0" w:space="0" w:color="auto"/>
                        <w:bottom w:val="none" w:sz="0" w:space="0" w:color="auto"/>
                        <w:right w:val="none" w:sz="0" w:space="0" w:color="auto"/>
                      </w:divBdr>
                    </w:div>
                    <w:div w:id="1265501314">
                      <w:marLeft w:val="0"/>
                      <w:marRight w:val="0"/>
                      <w:marTop w:val="0"/>
                      <w:marBottom w:val="0"/>
                      <w:divBdr>
                        <w:top w:val="none" w:sz="0" w:space="0" w:color="auto"/>
                        <w:left w:val="none" w:sz="0" w:space="0" w:color="auto"/>
                        <w:bottom w:val="none" w:sz="0" w:space="0" w:color="auto"/>
                        <w:right w:val="none" w:sz="0" w:space="0" w:color="auto"/>
                      </w:divBdr>
                    </w:div>
                    <w:div w:id="1369791374">
                      <w:marLeft w:val="0"/>
                      <w:marRight w:val="0"/>
                      <w:marTop w:val="0"/>
                      <w:marBottom w:val="0"/>
                      <w:divBdr>
                        <w:top w:val="none" w:sz="0" w:space="0" w:color="auto"/>
                        <w:left w:val="none" w:sz="0" w:space="0" w:color="auto"/>
                        <w:bottom w:val="none" w:sz="0" w:space="0" w:color="auto"/>
                        <w:right w:val="none" w:sz="0" w:space="0" w:color="auto"/>
                      </w:divBdr>
                    </w:div>
                    <w:div w:id="1684821514">
                      <w:marLeft w:val="0"/>
                      <w:marRight w:val="0"/>
                      <w:marTop w:val="0"/>
                      <w:marBottom w:val="0"/>
                      <w:divBdr>
                        <w:top w:val="none" w:sz="0" w:space="0" w:color="auto"/>
                        <w:left w:val="none" w:sz="0" w:space="0" w:color="auto"/>
                        <w:bottom w:val="none" w:sz="0" w:space="0" w:color="auto"/>
                        <w:right w:val="none" w:sz="0" w:space="0" w:color="auto"/>
                      </w:divBdr>
                    </w:div>
                    <w:div w:id="538127994">
                      <w:marLeft w:val="0"/>
                      <w:marRight w:val="0"/>
                      <w:marTop w:val="0"/>
                      <w:marBottom w:val="0"/>
                      <w:divBdr>
                        <w:top w:val="none" w:sz="0" w:space="0" w:color="auto"/>
                        <w:left w:val="none" w:sz="0" w:space="0" w:color="auto"/>
                        <w:bottom w:val="none" w:sz="0" w:space="0" w:color="auto"/>
                        <w:right w:val="none" w:sz="0" w:space="0" w:color="auto"/>
                      </w:divBdr>
                    </w:div>
                    <w:div w:id="635914318">
                      <w:marLeft w:val="0"/>
                      <w:marRight w:val="0"/>
                      <w:marTop w:val="0"/>
                      <w:marBottom w:val="0"/>
                      <w:divBdr>
                        <w:top w:val="none" w:sz="0" w:space="0" w:color="auto"/>
                        <w:left w:val="none" w:sz="0" w:space="0" w:color="auto"/>
                        <w:bottom w:val="none" w:sz="0" w:space="0" w:color="auto"/>
                        <w:right w:val="none" w:sz="0" w:space="0" w:color="auto"/>
                      </w:divBdr>
                    </w:div>
                  </w:divsChild>
                </w:div>
                <w:div w:id="2069180335">
                  <w:marLeft w:val="0"/>
                  <w:marRight w:val="0"/>
                  <w:marTop w:val="0"/>
                  <w:marBottom w:val="0"/>
                  <w:divBdr>
                    <w:top w:val="none" w:sz="0" w:space="0" w:color="auto"/>
                    <w:left w:val="none" w:sz="0" w:space="0" w:color="auto"/>
                    <w:bottom w:val="none" w:sz="0" w:space="0" w:color="auto"/>
                    <w:right w:val="none" w:sz="0" w:space="0" w:color="auto"/>
                  </w:divBdr>
                  <w:divsChild>
                    <w:div w:id="888764798">
                      <w:marLeft w:val="0"/>
                      <w:marRight w:val="0"/>
                      <w:marTop w:val="0"/>
                      <w:marBottom w:val="0"/>
                      <w:divBdr>
                        <w:top w:val="none" w:sz="0" w:space="0" w:color="auto"/>
                        <w:left w:val="none" w:sz="0" w:space="0" w:color="auto"/>
                        <w:bottom w:val="none" w:sz="0" w:space="0" w:color="auto"/>
                        <w:right w:val="none" w:sz="0" w:space="0" w:color="auto"/>
                      </w:divBdr>
                    </w:div>
                  </w:divsChild>
                </w:div>
                <w:div w:id="1140615267">
                  <w:marLeft w:val="0"/>
                  <w:marRight w:val="0"/>
                  <w:marTop w:val="0"/>
                  <w:marBottom w:val="0"/>
                  <w:divBdr>
                    <w:top w:val="none" w:sz="0" w:space="0" w:color="auto"/>
                    <w:left w:val="none" w:sz="0" w:space="0" w:color="auto"/>
                    <w:bottom w:val="none" w:sz="0" w:space="0" w:color="auto"/>
                    <w:right w:val="none" w:sz="0" w:space="0" w:color="auto"/>
                  </w:divBdr>
                  <w:divsChild>
                    <w:div w:id="7021923">
                      <w:marLeft w:val="0"/>
                      <w:marRight w:val="0"/>
                      <w:marTop w:val="0"/>
                      <w:marBottom w:val="0"/>
                      <w:divBdr>
                        <w:top w:val="none" w:sz="0" w:space="0" w:color="auto"/>
                        <w:left w:val="none" w:sz="0" w:space="0" w:color="auto"/>
                        <w:bottom w:val="none" w:sz="0" w:space="0" w:color="auto"/>
                        <w:right w:val="none" w:sz="0" w:space="0" w:color="auto"/>
                      </w:divBdr>
                    </w:div>
                    <w:div w:id="1344553410">
                      <w:marLeft w:val="0"/>
                      <w:marRight w:val="0"/>
                      <w:marTop w:val="0"/>
                      <w:marBottom w:val="0"/>
                      <w:divBdr>
                        <w:top w:val="none" w:sz="0" w:space="0" w:color="auto"/>
                        <w:left w:val="none" w:sz="0" w:space="0" w:color="auto"/>
                        <w:bottom w:val="none" w:sz="0" w:space="0" w:color="auto"/>
                        <w:right w:val="none" w:sz="0" w:space="0" w:color="auto"/>
                      </w:divBdr>
                    </w:div>
                  </w:divsChild>
                </w:div>
                <w:div w:id="1814787786">
                  <w:marLeft w:val="0"/>
                  <w:marRight w:val="0"/>
                  <w:marTop w:val="0"/>
                  <w:marBottom w:val="0"/>
                  <w:divBdr>
                    <w:top w:val="none" w:sz="0" w:space="0" w:color="auto"/>
                    <w:left w:val="none" w:sz="0" w:space="0" w:color="auto"/>
                    <w:bottom w:val="none" w:sz="0" w:space="0" w:color="auto"/>
                    <w:right w:val="none" w:sz="0" w:space="0" w:color="auto"/>
                  </w:divBdr>
                  <w:divsChild>
                    <w:div w:id="953290996">
                      <w:marLeft w:val="0"/>
                      <w:marRight w:val="0"/>
                      <w:marTop w:val="0"/>
                      <w:marBottom w:val="0"/>
                      <w:divBdr>
                        <w:top w:val="none" w:sz="0" w:space="0" w:color="auto"/>
                        <w:left w:val="none" w:sz="0" w:space="0" w:color="auto"/>
                        <w:bottom w:val="none" w:sz="0" w:space="0" w:color="auto"/>
                        <w:right w:val="none" w:sz="0" w:space="0" w:color="auto"/>
                      </w:divBdr>
                    </w:div>
                  </w:divsChild>
                </w:div>
                <w:div w:id="1602496583">
                  <w:marLeft w:val="0"/>
                  <w:marRight w:val="0"/>
                  <w:marTop w:val="0"/>
                  <w:marBottom w:val="0"/>
                  <w:divBdr>
                    <w:top w:val="none" w:sz="0" w:space="0" w:color="auto"/>
                    <w:left w:val="none" w:sz="0" w:space="0" w:color="auto"/>
                    <w:bottom w:val="none" w:sz="0" w:space="0" w:color="auto"/>
                    <w:right w:val="none" w:sz="0" w:space="0" w:color="auto"/>
                  </w:divBdr>
                  <w:divsChild>
                    <w:div w:id="557984110">
                      <w:marLeft w:val="0"/>
                      <w:marRight w:val="0"/>
                      <w:marTop w:val="0"/>
                      <w:marBottom w:val="0"/>
                      <w:divBdr>
                        <w:top w:val="none" w:sz="0" w:space="0" w:color="auto"/>
                        <w:left w:val="none" w:sz="0" w:space="0" w:color="auto"/>
                        <w:bottom w:val="none" w:sz="0" w:space="0" w:color="auto"/>
                        <w:right w:val="none" w:sz="0" w:space="0" w:color="auto"/>
                      </w:divBdr>
                    </w:div>
                    <w:div w:id="1671133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40261">
          <w:marLeft w:val="0"/>
          <w:marRight w:val="0"/>
          <w:marTop w:val="0"/>
          <w:marBottom w:val="0"/>
          <w:divBdr>
            <w:top w:val="none" w:sz="0" w:space="0" w:color="auto"/>
            <w:left w:val="none" w:sz="0" w:space="0" w:color="auto"/>
            <w:bottom w:val="none" w:sz="0" w:space="0" w:color="auto"/>
            <w:right w:val="none" w:sz="0" w:space="0" w:color="auto"/>
          </w:divBdr>
        </w:div>
        <w:div w:id="1529564987">
          <w:marLeft w:val="0"/>
          <w:marRight w:val="0"/>
          <w:marTop w:val="0"/>
          <w:marBottom w:val="0"/>
          <w:divBdr>
            <w:top w:val="none" w:sz="0" w:space="0" w:color="auto"/>
            <w:left w:val="none" w:sz="0" w:space="0" w:color="auto"/>
            <w:bottom w:val="none" w:sz="0" w:space="0" w:color="auto"/>
            <w:right w:val="none" w:sz="0" w:space="0" w:color="auto"/>
          </w:divBdr>
        </w:div>
        <w:div w:id="909848582">
          <w:marLeft w:val="0"/>
          <w:marRight w:val="0"/>
          <w:marTop w:val="0"/>
          <w:marBottom w:val="0"/>
          <w:divBdr>
            <w:top w:val="none" w:sz="0" w:space="0" w:color="auto"/>
            <w:left w:val="none" w:sz="0" w:space="0" w:color="auto"/>
            <w:bottom w:val="none" w:sz="0" w:space="0" w:color="auto"/>
            <w:right w:val="none" w:sz="0" w:space="0" w:color="auto"/>
          </w:divBdr>
        </w:div>
        <w:div w:id="2126149639">
          <w:marLeft w:val="0"/>
          <w:marRight w:val="0"/>
          <w:marTop w:val="0"/>
          <w:marBottom w:val="0"/>
          <w:divBdr>
            <w:top w:val="none" w:sz="0" w:space="0" w:color="auto"/>
            <w:left w:val="none" w:sz="0" w:space="0" w:color="auto"/>
            <w:bottom w:val="none" w:sz="0" w:space="0" w:color="auto"/>
            <w:right w:val="none" w:sz="0" w:space="0" w:color="auto"/>
          </w:divBdr>
        </w:div>
        <w:div w:id="1103109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935F9687B394D99F95A6B7436B4CB" ma:contentTypeVersion="15" ma:contentTypeDescription="Create a new document." ma:contentTypeScope="" ma:versionID="43bfa3da03732522d4a8be66c0c5dd7d">
  <xsd:schema xmlns:xsd="http://www.w3.org/2001/XMLSchema" xmlns:xs="http://www.w3.org/2001/XMLSchema" xmlns:p="http://schemas.microsoft.com/office/2006/metadata/properties" xmlns:ns2="00d29faa-ab15-4d3a-a2e3-3f002dee71d9" xmlns:ns3="61361056-ea4d-4acb-8ac9-28f4a60fcbd4" targetNamespace="http://schemas.microsoft.com/office/2006/metadata/properties" ma:root="true" ma:fieldsID="86ddcbe5f496253d41253be62eaf5210" ns2:_="" ns3:_="">
    <xsd:import namespace="00d29faa-ab15-4d3a-a2e3-3f002dee71d9"/>
    <xsd:import namespace="61361056-ea4d-4acb-8ac9-28f4a60fcb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29faa-ab15-4d3a-a2e3-3f002dee71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4d29cd7-4a50-43ed-9d07-d663bd7edee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1361056-ea4d-4acb-8ac9-28f4a60fcbd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90f584a-0b03-40a9-a32a-1d25a67ecba4}" ma:internalName="TaxCatchAll" ma:showField="CatchAllData" ma:web="61361056-ea4d-4acb-8ac9-28f4a60fcb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d29faa-ab15-4d3a-a2e3-3f002dee71d9">
      <Terms xmlns="http://schemas.microsoft.com/office/infopath/2007/PartnerControls"/>
    </lcf76f155ced4ddcb4097134ff3c332f>
    <TaxCatchAll xmlns="61361056-ea4d-4acb-8ac9-28f4a60fcbd4" xsi:nil="true"/>
  </documentManagement>
</p:properties>
</file>

<file path=customXml/itemProps1.xml><?xml version="1.0" encoding="utf-8"?>
<ds:datastoreItem xmlns:ds="http://schemas.openxmlformats.org/officeDocument/2006/customXml" ds:itemID="{7EF1856F-35E1-4D75-8101-B36A50B1B4E4}"/>
</file>

<file path=customXml/itemProps2.xml><?xml version="1.0" encoding="utf-8"?>
<ds:datastoreItem xmlns:ds="http://schemas.openxmlformats.org/officeDocument/2006/customXml" ds:itemID="{E05BF9CD-59E4-41AA-B69B-767971D00E8F}"/>
</file>

<file path=customXml/itemProps3.xml><?xml version="1.0" encoding="utf-8"?>
<ds:datastoreItem xmlns:ds="http://schemas.openxmlformats.org/officeDocument/2006/customXml" ds:itemID="{70EA96F9-4A1C-406F-A424-17939FD47A38}"/>
</file>

<file path=docProps/app.xml><?xml version="1.0" encoding="utf-8"?>
<Properties xmlns="http://schemas.openxmlformats.org/officeDocument/2006/extended-properties" xmlns:vt="http://schemas.openxmlformats.org/officeDocument/2006/docPropsVTypes">
  <Template>Normal</Template>
  <TotalTime>63</TotalTime>
  <Pages>4</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Hackett</dc:creator>
  <cp:keywords/>
  <dc:description/>
  <cp:lastModifiedBy>Liz Hackett</cp:lastModifiedBy>
  <cp:revision>31</cp:revision>
  <dcterms:created xsi:type="dcterms:W3CDTF">2022-03-09T16:54:00Z</dcterms:created>
  <dcterms:modified xsi:type="dcterms:W3CDTF">2022-04-06T12:39:00Z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0x010100E2D935F9687B394D99F95A6B7436B4CB</vt:lpwstr>
  </property>
</Properties>
</file>